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2430"/>
        <w:gridCol w:w="2520"/>
        <w:gridCol w:w="2700"/>
      </w:tblGrid>
      <w:tr w:rsidR="00942B53" w:rsidRPr="00EB6C3B" w:rsidTr="003D0C20">
        <w:trPr>
          <w:cantSplit/>
          <w:tblHeader/>
        </w:trPr>
        <w:tc>
          <w:tcPr>
            <w:tcW w:w="2250" w:type="dxa"/>
            <w:shd w:val="pct12" w:color="auto" w:fill="FFFFFF"/>
          </w:tcPr>
          <w:p w:rsidR="00942B53" w:rsidRPr="00EB6C3B"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Legal Name:</w:t>
            </w:r>
          </w:p>
          <w:p w:rsidR="00942B53" w:rsidRPr="00EB6C3B" w:rsidRDefault="00942B53" w:rsidP="003D0C20">
            <w:pPr>
              <w:spacing w:after="0" w:line="240" w:lineRule="auto"/>
              <w:rPr>
                <w:rFonts w:ascii="Garamond" w:eastAsia="Times New Roman" w:hAnsi="Garamond" w:cstheme="minorHAnsi"/>
                <w:sz w:val="20"/>
                <w:szCs w:val="20"/>
                <w:lang w:eastAsia="en-AU"/>
              </w:rPr>
            </w:pPr>
          </w:p>
        </w:tc>
        <w:tc>
          <w:tcPr>
            <w:tcW w:w="7650" w:type="dxa"/>
            <w:gridSpan w:val="3"/>
          </w:tcPr>
          <w:p w:rsidR="00942B53" w:rsidRDefault="00254171" w:rsidP="003D0C2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Greater Portland Council of Governments</w:t>
            </w:r>
            <w:r w:rsidR="0040786C">
              <w:rPr>
                <w:rFonts w:ascii="Garamond" w:eastAsia="Times New Roman" w:hAnsi="Garamond" w:cstheme="minorHAnsi"/>
                <w:b/>
                <w:lang w:eastAsia="en-AU"/>
              </w:rPr>
              <w:fldChar w:fldCharType="begin">
                <w:ffData>
                  <w:name w:val="Text133"/>
                  <w:enabled/>
                  <w:calcOnExit w:val="0"/>
                  <w:textInput/>
                </w:ffData>
              </w:fldChar>
            </w:r>
            <w:bookmarkStart w:id="0" w:name="Text133"/>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0"/>
            <w:r w:rsidR="0040786C">
              <w:rPr>
                <w:rFonts w:ascii="Garamond" w:eastAsia="Times New Roman" w:hAnsi="Garamond" w:cstheme="minorHAnsi"/>
                <w:b/>
                <w:lang w:eastAsia="en-AU"/>
              </w:rPr>
              <w:fldChar w:fldCharType="begin">
                <w:ffData>
                  <w:name w:val="Text134"/>
                  <w:enabled/>
                  <w:calcOnExit w:val="0"/>
                  <w:textInput/>
                </w:ffData>
              </w:fldChar>
            </w:r>
            <w:bookmarkStart w:id="1" w:name="Text134"/>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
            <w:r w:rsidR="0040786C">
              <w:rPr>
                <w:rFonts w:ascii="Garamond" w:eastAsia="Times New Roman" w:hAnsi="Garamond" w:cstheme="minorHAnsi"/>
                <w:b/>
                <w:lang w:eastAsia="en-AU"/>
              </w:rPr>
              <w:fldChar w:fldCharType="begin">
                <w:ffData>
                  <w:name w:val="Text135"/>
                  <w:enabled/>
                  <w:calcOnExit w:val="0"/>
                  <w:textInput/>
                </w:ffData>
              </w:fldChar>
            </w:r>
            <w:bookmarkStart w:id="2" w:name="Text135"/>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2"/>
            <w:r w:rsidR="0040786C">
              <w:rPr>
                <w:rFonts w:ascii="Garamond" w:eastAsia="Times New Roman" w:hAnsi="Garamond" w:cstheme="minorHAnsi"/>
                <w:b/>
                <w:lang w:eastAsia="en-AU"/>
              </w:rPr>
              <w:fldChar w:fldCharType="begin">
                <w:ffData>
                  <w:name w:val="Text136"/>
                  <w:enabled/>
                  <w:calcOnExit w:val="0"/>
                  <w:textInput/>
                </w:ffData>
              </w:fldChar>
            </w:r>
            <w:bookmarkStart w:id="3" w:name="Text136"/>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3"/>
            <w:r w:rsidR="0040786C">
              <w:rPr>
                <w:rFonts w:ascii="Garamond" w:eastAsia="Times New Roman" w:hAnsi="Garamond" w:cstheme="minorHAnsi"/>
                <w:b/>
                <w:lang w:eastAsia="en-AU"/>
              </w:rPr>
              <w:fldChar w:fldCharType="begin">
                <w:ffData>
                  <w:name w:val="Text137"/>
                  <w:enabled/>
                  <w:calcOnExit w:val="0"/>
                  <w:textInput/>
                </w:ffData>
              </w:fldChar>
            </w:r>
            <w:bookmarkStart w:id="4" w:name="Text137"/>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4"/>
            <w:r w:rsidR="0040786C">
              <w:rPr>
                <w:rFonts w:ascii="Garamond" w:eastAsia="Times New Roman" w:hAnsi="Garamond" w:cstheme="minorHAnsi"/>
                <w:b/>
                <w:lang w:eastAsia="en-AU"/>
              </w:rPr>
              <w:fldChar w:fldCharType="begin">
                <w:ffData>
                  <w:name w:val="Text138"/>
                  <w:enabled/>
                  <w:calcOnExit w:val="0"/>
                  <w:textInput/>
                </w:ffData>
              </w:fldChar>
            </w:r>
            <w:bookmarkStart w:id="5" w:name="Text138"/>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5"/>
            <w:r w:rsidR="0040786C">
              <w:rPr>
                <w:rFonts w:ascii="Garamond" w:eastAsia="Times New Roman" w:hAnsi="Garamond" w:cstheme="minorHAnsi"/>
                <w:b/>
                <w:lang w:eastAsia="en-AU"/>
              </w:rPr>
              <w:fldChar w:fldCharType="begin">
                <w:ffData>
                  <w:name w:val="Text139"/>
                  <w:enabled/>
                  <w:calcOnExit w:val="0"/>
                  <w:textInput/>
                </w:ffData>
              </w:fldChar>
            </w:r>
            <w:bookmarkStart w:id="6" w:name="Text139"/>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6"/>
            <w:r w:rsidR="0040786C">
              <w:rPr>
                <w:rFonts w:ascii="Garamond" w:eastAsia="Times New Roman" w:hAnsi="Garamond" w:cstheme="minorHAnsi"/>
                <w:b/>
                <w:lang w:eastAsia="en-AU"/>
              </w:rPr>
              <w:fldChar w:fldCharType="begin">
                <w:ffData>
                  <w:name w:val="Text140"/>
                  <w:enabled/>
                  <w:calcOnExit w:val="0"/>
                  <w:textInput/>
                </w:ffData>
              </w:fldChar>
            </w:r>
            <w:bookmarkStart w:id="7" w:name="Text140"/>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7"/>
            <w:r w:rsidR="0040786C">
              <w:rPr>
                <w:rFonts w:ascii="Garamond" w:eastAsia="Times New Roman" w:hAnsi="Garamond" w:cstheme="minorHAnsi"/>
                <w:b/>
                <w:lang w:eastAsia="en-AU"/>
              </w:rPr>
              <w:fldChar w:fldCharType="begin">
                <w:ffData>
                  <w:name w:val="Text141"/>
                  <w:enabled/>
                  <w:calcOnExit w:val="0"/>
                  <w:textInput/>
                </w:ffData>
              </w:fldChar>
            </w:r>
            <w:bookmarkStart w:id="8" w:name="Text141"/>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8"/>
            <w:r w:rsidR="0040786C">
              <w:rPr>
                <w:rFonts w:ascii="Garamond" w:eastAsia="Times New Roman" w:hAnsi="Garamond" w:cstheme="minorHAnsi"/>
                <w:b/>
                <w:lang w:eastAsia="en-AU"/>
              </w:rPr>
              <w:fldChar w:fldCharType="begin">
                <w:ffData>
                  <w:name w:val="Text142"/>
                  <w:enabled/>
                  <w:calcOnExit w:val="0"/>
                  <w:textInput/>
                </w:ffData>
              </w:fldChar>
            </w:r>
            <w:bookmarkStart w:id="9" w:name="Text142"/>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9"/>
            <w:r w:rsidR="0040786C">
              <w:rPr>
                <w:rFonts w:ascii="Garamond" w:eastAsia="Times New Roman" w:hAnsi="Garamond" w:cstheme="minorHAnsi"/>
                <w:b/>
                <w:lang w:eastAsia="en-AU"/>
              </w:rPr>
              <w:fldChar w:fldCharType="begin">
                <w:ffData>
                  <w:name w:val="Text143"/>
                  <w:enabled/>
                  <w:calcOnExit w:val="0"/>
                  <w:textInput/>
                </w:ffData>
              </w:fldChar>
            </w:r>
            <w:bookmarkStart w:id="10" w:name="Text143"/>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0"/>
            <w:r w:rsidR="0040786C">
              <w:rPr>
                <w:rFonts w:ascii="Garamond" w:eastAsia="Times New Roman" w:hAnsi="Garamond" w:cstheme="minorHAnsi"/>
                <w:b/>
                <w:lang w:eastAsia="en-AU"/>
              </w:rPr>
              <w:fldChar w:fldCharType="begin">
                <w:ffData>
                  <w:name w:val="Text144"/>
                  <w:enabled/>
                  <w:calcOnExit w:val="0"/>
                  <w:textInput/>
                </w:ffData>
              </w:fldChar>
            </w:r>
            <w:bookmarkStart w:id="11" w:name="Text144"/>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1"/>
          </w:p>
          <w:p w:rsidR="003D0C20" w:rsidRPr="00EB6C3B" w:rsidRDefault="003D0C20" w:rsidP="003D0C2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fldChar w:fldCharType="begin">
                <w:ffData>
                  <w:name w:val="Text2"/>
                  <w:enabled/>
                  <w:calcOnExit w:val="0"/>
                  <w:textInput/>
                </w:ffData>
              </w:fldChar>
            </w:r>
            <w:bookmarkStart w:id="12" w:name="Text2"/>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12"/>
            <w:r w:rsidR="0040786C">
              <w:rPr>
                <w:rFonts w:ascii="Garamond" w:eastAsia="Times New Roman" w:hAnsi="Garamond" w:cstheme="minorHAnsi"/>
                <w:b/>
                <w:lang w:eastAsia="en-AU"/>
              </w:rPr>
              <w:fldChar w:fldCharType="begin">
                <w:ffData>
                  <w:name w:val="Text145"/>
                  <w:enabled/>
                  <w:calcOnExit w:val="0"/>
                  <w:textInput/>
                </w:ffData>
              </w:fldChar>
            </w:r>
            <w:bookmarkStart w:id="13" w:name="Text145"/>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3"/>
            <w:r w:rsidR="0040786C">
              <w:rPr>
                <w:rFonts w:ascii="Garamond" w:eastAsia="Times New Roman" w:hAnsi="Garamond" w:cstheme="minorHAnsi"/>
                <w:b/>
                <w:lang w:eastAsia="en-AU"/>
              </w:rPr>
              <w:fldChar w:fldCharType="begin">
                <w:ffData>
                  <w:name w:val="Text146"/>
                  <w:enabled/>
                  <w:calcOnExit w:val="0"/>
                  <w:textInput/>
                </w:ffData>
              </w:fldChar>
            </w:r>
            <w:bookmarkStart w:id="14" w:name="Text146"/>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4"/>
            <w:r w:rsidR="0040786C">
              <w:rPr>
                <w:rFonts w:ascii="Garamond" w:eastAsia="Times New Roman" w:hAnsi="Garamond" w:cstheme="minorHAnsi"/>
                <w:b/>
                <w:lang w:eastAsia="en-AU"/>
              </w:rPr>
              <w:fldChar w:fldCharType="begin">
                <w:ffData>
                  <w:name w:val="Text147"/>
                  <w:enabled/>
                  <w:calcOnExit w:val="0"/>
                  <w:textInput/>
                </w:ffData>
              </w:fldChar>
            </w:r>
            <w:bookmarkStart w:id="15" w:name="Text147"/>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5"/>
            <w:r w:rsidR="0040786C">
              <w:rPr>
                <w:rFonts w:ascii="Garamond" w:eastAsia="Times New Roman" w:hAnsi="Garamond" w:cstheme="minorHAnsi"/>
                <w:b/>
                <w:lang w:eastAsia="en-AU"/>
              </w:rPr>
              <w:fldChar w:fldCharType="begin">
                <w:ffData>
                  <w:name w:val="Text148"/>
                  <w:enabled/>
                  <w:calcOnExit w:val="0"/>
                  <w:textInput/>
                </w:ffData>
              </w:fldChar>
            </w:r>
            <w:bookmarkStart w:id="16" w:name="Text148"/>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6"/>
            <w:r w:rsidR="0040786C">
              <w:rPr>
                <w:rFonts w:ascii="Garamond" w:eastAsia="Times New Roman" w:hAnsi="Garamond" w:cstheme="minorHAnsi"/>
                <w:b/>
                <w:lang w:eastAsia="en-AU"/>
              </w:rPr>
              <w:fldChar w:fldCharType="begin">
                <w:ffData>
                  <w:name w:val="Text149"/>
                  <w:enabled/>
                  <w:calcOnExit w:val="0"/>
                  <w:textInput/>
                </w:ffData>
              </w:fldChar>
            </w:r>
            <w:bookmarkStart w:id="17" w:name="Text149"/>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7"/>
            <w:r w:rsidR="0040786C">
              <w:rPr>
                <w:rFonts w:ascii="Garamond" w:eastAsia="Times New Roman" w:hAnsi="Garamond" w:cstheme="minorHAnsi"/>
                <w:b/>
                <w:lang w:eastAsia="en-AU"/>
              </w:rPr>
              <w:fldChar w:fldCharType="begin">
                <w:ffData>
                  <w:name w:val="Text150"/>
                  <w:enabled/>
                  <w:calcOnExit w:val="0"/>
                  <w:textInput/>
                </w:ffData>
              </w:fldChar>
            </w:r>
            <w:bookmarkStart w:id="18" w:name="Text150"/>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8"/>
            <w:r w:rsidR="0040786C">
              <w:rPr>
                <w:rFonts w:ascii="Garamond" w:eastAsia="Times New Roman" w:hAnsi="Garamond" w:cstheme="minorHAnsi"/>
                <w:b/>
                <w:lang w:eastAsia="en-AU"/>
              </w:rPr>
              <w:fldChar w:fldCharType="begin">
                <w:ffData>
                  <w:name w:val="Text151"/>
                  <w:enabled/>
                  <w:calcOnExit w:val="0"/>
                  <w:textInput/>
                </w:ffData>
              </w:fldChar>
            </w:r>
            <w:bookmarkStart w:id="19" w:name="Text151"/>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19"/>
            <w:r w:rsidR="0040786C">
              <w:rPr>
                <w:rFonts w:ascii="Garamond" w:eastAsia="Times New Roman" w:hAnsi="Garamond" w:cstheme="minorHAnsi"/>
                <w:b/>
                <w:lang w:eastAsia="en-AU"/>
              </w:rPr>
              <w:fldChar w:fldCharType="begin">
                <w:ffData>
                  <w:name w:val="Text152"/>
                  <w:enabled/>
                  <w:calcOnExit w:val="0"/>
                  <w:textInput/>
                </w:ffData>
              </w:fldChar>
            </w:r>
            <w:bookmarkStart w:id="20" w:name="Text152"/>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20"/>
            <w:r w:rsidR="0040786C">
              <w:rPr>
                <w:rFonts w:ascii="Garamond" w:eastAsia="Times New Roman" w:hAnsi="Garamond" w:cstheme="minorHAnsi"/>
                <w:b/>
                <w:lang w:eastAsia="en-AU"/>
              </w:rPr>
              <w:fldChar w:fldCharType="begin">
                <w:ffData>
                  <w:name w:val="Text153"/>
                  <w:enabled/>
                  <w:calcOnExit w:val="0"/>
                  <w:textInput/>
                </w:ffData>
              </w:fldChar>
            </w:r>
            <w:bookmarkStart w:id="21" w:name="Text153"/>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21"/>
            <w:r w:rsidR="0040786C">
              <w:rPr>
                <w:rFonts w:ascii="Garamond" w:eastAsia="Times New Roman" w:hAnsi="Garamond" w:cstheme="minorHAnsi"/>
                <w:b/>
                <w:lang w:eastAsia="en-AU"/>
              </w:rPr>
              <w:fldChar w:fldCharType="begin">
                <w:ffData>
                  <w:name w:val="Text154"/>
                  <w:enabled/>
                  <w:calcOnExit w:val="0"/>
                  <w:textInput/>
                </w:ffData>
              </w:fldChar>
            </w:r>
            <w:bookmarkStart w:id="22" w:name="Text154"/>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22"/>
            <w:r w:rsidR="0040786C">
              <w:rPr>
                <w:rFonts w:ascii="Garamond" w:eastAsia="Times New Roman" w:hAnsi="Garamond" w:cstheme="minorHAnsi"/>
                <w:b/>
                <w:lang w:eastAsia="en-AU"/>
              </w:rPr>
              <w:fldChar w:fldCharType="begin">
                <w:ffData>
                  <w:name w:val="Text155"/>
                  <w:enabled/>
                  <w:calcOnExit w:val="0"/>
                  <w:textInput/>
                </w:ffData>
              </w:fldChar>
            </w:r>
            <w:bookmarkStart w:id="23" w:name="Text155"/>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23"/>
            <w:r w:rsidR="0040786C">
              <w:rPr>
                <w:rFonts w:ascii="Garamond" w:eastAsia="Times New Roman" w:hAnsi="Garamond" w:cstheme="minorHAnsi"/>
                <w:b/>
                <w:lang w:eastAsia="en-AU"/>
              </w:rPr>
              <w:fldChar w:fldCharType="begin">
                <w:ffData>
                  <w:name w:val="Text156"/>
                  <w:enabled/>
                  <w:calcOnExit w:val="0"/>
                  <w:textInput/>
                </w:ffData>
              </w:fldChar>
            </w:r>
            <w:bookmarkStart w:id="24" w:name="Text156"/>
            <w:r w:rsidR="0040786C">
              <w:rPr>
                <w:rFonts w:ascii="Garamond" w:eastAsia="Times New Roman" w:hAnsi="Garamond" w:cstheme="minorHAnsi"/>
                <w:b/>
                <w:lang w:eastAsia="en-AU"/>
              </w:rPr>
              <w:instrText xml:space="preserve"> FORMTEXT </w:instrText>
            </w:r>
            <w:r w:rsidR="0040786C">
              <w:rPr>
                <w:rFonts w:ascii="Garamond" w:eastAsia="Times New Roman" w:hAnsi="Garamond" w:cstheme="minorHAnsi"/>
                <w:b/>
                <w:lang w:eastAsia="en-AU"/>
              </w:rPr>
            </w:r>
            <w:r w:rsidR="0040786C">
              <w:rPr>
                <w:rFonts w:ascii="Garamond" w:eastAsia="Times New Roman" w:hAnsi="Garamond" w:cstheme="minorHAnsi"/>
                <w:b/>
                <w:lang w:eastAsia="en-AU"/>
              </w:rPr>
              <w:fldChar w:fldCharType="separate"/>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noProof/>
                <w:lang w:eastAsia="en-AU"/>
              </w:rPr>
              <w:t> </w:t>
            </w:r>
            <w:r w:rsidR="0040786C">
              <w:rPr>
                <w:rFonts w:ascii="Garamond" w:eastAsia="Times New Roman" w:hAnsi="Garamond" w:cstheme="minorHAnsi"/>
                <w:b/>
                <w:lang w:eastAsia="en-AU"/>
              </w:rPr>
              <w:fldChar w:fldCharType="end"/>
            </w:r>
            <w:bookmarkEnd w:id="24"/>
          </w:p>
        </w:tc>
      </w:tr>
      <w:tr w:rsidR="00942B53" w:rsidRPr="00EB6C3B" w:rsidTr="003D0C20">
        <w:trPr>
          <w:cantSplit/>
          <w:tblHeader/>
        </w:trPr>
        <w:tc>
          <w:tcPr>
            <w:tcW w:w="2250" w:type="dxa"/>
            <w:shd w:val="pct12" w:color="auto" w:fill="FFFFFF"/>
          </w:tcPr>
          <w:p w:rsidR="00942B53" w:rsidRPr="00EB6C3B"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Report Period </w:t>
            </w:r>
            <w:r w:rsidRPr="00EB6C3B">
              <w:rPr>
                <w:rFonts w:ascii="Garamond" w:eastAsia="Times New Roman" w:hAnsi="Garamond" w:cstheme="minorHAnsi"/>
                <w:b/>
                <w:sz w:val="16"/>
                <w:szCs w:val="16"/>
                <w:lang w:eastAsia="en-AU"/>
              </w:rPr>
              <w:t>(from/to)</w:t>
            </w:r>
            <w:r w:rsidRPr="00EB6C3B">
              <w:rPr>
                <w:rFonts w:ascii="Garamond" w:eastAsia="Times New Roman" w:hAnsi="Garamond" w:cstheme="minorHAnsi"/>
                <w:b/>
                <w:lang w:eastAsia="en-AU"/>
              </w:rPr>
              <w:t>:</w:t>
            </w:r>
            <w:r w:rsidR="00E84533">
              <w:rPr>
                <w:rFonts w:ascii="Garamond" w:eastAsia="Times New Roman" w:hAnsi="Garamond" w:cstheme="minorHAnsi"/>
                <w:b/>
                <w:lang w:eastAsia="en-AU"/>
              </w:rPr>
              <w:fldChar w:fldCharType="begin">
                <w:ffData>
                  <w:name w:val="Text176"/>
                  <w:enabled/>
                  <w:calcOnExit w:val="0"/>
                  <w:textInput/>
                </w:ffData>
              </w:fldChar>
            </w:r>
            <w:bookmarkStart w:id="25" w:name="Text176"/>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25"/>
            <w:r w:rsidR="00E84533">
              <w:rPr>
                <w:rFonts w:ascii="Garamond" w:eastAsia="Times New Roman" w:hAnsi="Garamond" w:cstheme="minorHAnsi"/>
                <w:b/>
                <w:lang w:eastAsia="en-AU"/>
              </w:rPr>
              <w:fldChar w:fldCharType="begin">
                <w:ffData>
                  <w:name w:val="Text177"/>
                  <w:enabled/>
                  <w:calcOnExit w:val="0"/>
                  <w:textInput/>
                </w:ffData>
              </w:fldChar>
            </w:r>
            <w:bookmarkStart w:id="26" w:name="Text177"/>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26"/>
          </w:p>
        </w:tc>
        <w:tc>
          <w:tcPr>
            <w:tcW w:w="2430" w:type="dxa"/>
          </w:tcPr>
          <w:p w:rsidR="003D0C20" w:rsidRPr="00EB6C3B" w:rsidRDefault="00254171" w:rsidP="003D0C2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January 1, 2014 – June 30, 2014</w:t>
            </w:r>
          </w:p>
        </w:tc>
        <w:tc>
          <w:tcPr>
            <w:tcW w:w="2520" w:type="dxa"/>
            <w:shd w:val="pct12" w:color="auto" w:fill="FFFFFF"/>
          </w:tcPr>
          <w:p w:rsidR="00942B53"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Grant Number:</w:t>
            </w:r>
            <w:r w:rsidR="00E84533">
              <w:rPr>
                <w:rFonts w:ascii="Garamond" w:eastAsia="Times New Roman" w:hAnsi="Garamond" w:cstheme="minorHAnsi"/>
                <w:b/>
                <w:lang w:eastAsia="en-AU"/>
              </w:rPr>
              <w:fldChar w:fldCharType="begin">
                <w:ffData>
                  <w:name w:val="Text184"/>
                  <w:enabled/>
                  <w:calcOnExit w:val="0"/>
                  <w:textInput/>
                </w:ffData>
              </w:fldChar>
            </w:r>
            <w:bookmarkStart w:id="27" w:name="Text184"/>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27"/>
          </w:p>
          <w:p w:rsidR="00E84533" w:rsidRPr="00EB6C3B" w:rsidRDefault="00E84533" w:rsidP="003D0C2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fldChar w:fldCharType="begin">
                <w:ffData>
                  <w:name w:val="Text180"/>
                  <w:enabled/>
                  <w:calcOnExit w:val="0"/>
                  <w:textInput/>
                </w:ffData>
              </w:fldChar>
            </w:r>
            <w:bookmarkStart w:id="28" w:name="Text180"/>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28"/>
            <w:r>
              <w:rPr>
                <w:rFonts w:ascii="Garamond" w:eastAsia="Times New Roman" w:hAnsi="Garamond" w:cstheme="minorHAnsi"/>
                <w:b/>
                <w:lang w:eastAsia="en-AU"/>
              </w:rPr>
              <w:fldChar w:fldCharType="begin">
                <w:ffData>
                  <w:name w:val="Text181"/>
                  <w:enabled/>
                  <w:calcOnExit w:val="0"/>
                  <w:textInput/>
                </w:ffData>
              </w:fldChar>
            </w:r>
            <w:bookmarkStart w:id="29" w:name="Text181"/>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29"/>
            <w:r>
              <w:rPr>
                <w:rFonts w:ascii="Garamond" w:eastAsia="Times New Roman" w:hAnsi="Garamond" w:cstheme="minorHAnsi"/>
                <w:b/>
                <w:lang w:eastAsia="en-AU"/>
              </w:rPr>
              <w:fldChar w:fldCharType="begin">
                <w:ffData>
                  <w:name w:val="Text182"/>
                  <w:enabled/>
                  <w:calcOnExit w:val="0"/>
                  <w:textInput/>
                </w:ffData>
              </w:fldChar>
            </w:r>
            <w:bookmarkStart w:id="30" w:name="Text182"/>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30"/>
            <w:r>
              <w:rPr>
                <w:rFonts w:ascii="Garamond" w:eastAsia="Times New Roman" w:hAnsi="Garamond" w:cstheme="minorHAnsi"/>
                <w:b/>
                <w:lang w:eastAsia="en-AU"/>
              </w:rPr>
              <w:fldChar w:fldCharType="begin">
                <w:ffData>
                  <w:name w:val="Text183"/>
                  <w:enabled/>
                  <w:calcOnExit w:val="0"/>
                  <w:textInput/>
                </w:ffData>
              </w:fldChar>
            </w:r>
            <w:bookmarkStart w:id="31" w:name="Text183"/>
            <w:r>
              <w:rPr>
                <w:rFonts w:ascii="Garamond" w:eastAsia="Times New Roman" w:hAnsi="Garamond" w:cstheme="minorHAnsi"/>
                <w:b/>
                <w:lang w:eastAsia="en-AU"/>
              </w:rPr>
              <w:instrText xml:space="preserve"> FORMTEXT </w:instrText>
            </w:r>
            <w:r>
              <w:rPr>
                <w:rFonts w:ascii="Garamond" w:eastAsia="Times New Roman" w:hAnsi="Garamond" w:cstheme="minorHAnsi"/>
                <w:b/>
                <w:lang w:eastAsia="en-AU"/>
              </w:rPr>
            </w:r>
            <w:r>
              <w:rPr>
                <w:rFonts w:ascii="Garamond" w:eastAsia="Times New Roman" w:hAnsi="Garamond" w:cstheme="minorHAnsi"/>
                <w:b/>
                <w:lang w:eastAsia="en-AU"/>
              </w:rPr>
              <w:fldChar w:fldCharType="separate"/>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noProof/>
                <w:lang w:eastAsia="en-AU"/>
              </w:rPr>
              <w:t> </w:t>
            </w:r>
            <w:r>
              <w:rPr>
                <w:rFonts w:ascii="Garamond" w:eastAsia="Times New Roman" w:hAnsi="Garamond" w:cstheme="minorHAnsi"/>
                <w:b/>
                <w:lang w:eastAsia="en-AU"/>
              </w:rPr>
              <w:fldChar w:fldCharType="end"/>
            </w:r>
            <w:bookmarkEnd w:id="31"/>
          </w:p>
        </w:tc>
        <w:tc>
          <w:tcPr>
            <w:tcW w:w="2700" w:type="dxa"/>
          </w:tcPr>
          <w:p w:rsidR="00743502" w:rsidRPr="00EB6C3B" w:rsidRDefault="00254171" w:rsidP="003D0C20">
            <w:pPr>
              <w:keepNext/>
              <w:spacing w:after="0" w:line="240" w:lineRule="auto"/>
              <w:outlineLvl w:val="3"/>
              <w:rPr>
                <w:rFonts w:ascii="Garamond" w:eastAsia="Times New Roman" w:hAnsi="Garamond" w:cstheme="minorHAnsi"/>
                <w:b/>
                <w:sz w:val="24"/>
                <w:szCs w:val="18"/>
                <w:lang w:eastAsia="en-AU"/>
              </w:rPr>
            </w:pPr>
            <w:r>
              <w:rPr>
                <w:rFonts w:ascii="Garamond" w:eastAsia="Times New Roman" w:hAnsi="Garamond" w:cstheme="minorHAnsi"/>
                <w:b/>
                <w:sz w:val="24"/>
                <w:szCs w:val="18"/>
                <w:lang w:eastAsia="en-AU"/>
              </w:rPr>
              <w:t>MERIP 0020-10</w:t>
            </w:r>
          </w:p>
        </w:tc>
      </w:tr>
      <w:tr w:rsidR="00942B53" w:rsidRPr="00EB6C3B" w:rsidTr="003D0C20">
        <w:trPr>
          <w:cantSplit/>
          <w:tblHeader/>
        </w:trPr>
        <w:tc>
          <w:tcPr>
            <w:tcW w:w="2250" w:type="dxa"/>
            <w:shd w:val="pct12" w:color="auto" w:fill="FFFFFF"/>
          </w:tcPr>
          <w:p w:rsidR="00942B53" w:rsidRPr="00EB6C3B"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POC:  </w:t>
            </w:r>
            <w:r w:rsidR="00E84533">
              <w:rPr>
                <w:rFonts w:ascii="Garamond" w:eastAsia="Times New Roman" w:hAnsi="Garamond" w:cstheme="minorHAnsi"/>
                <w:b/>
                <w:lang w:eastAsia="en-AU"/>
              </w:rPr>
              <w:fldChar w:fldCharType="begin">
                <w:ffData>
                  <w:name w:val="Text178"/>
                  <w:enabled/>
                  <w:calcOnExit w:val="0"/>
                  <w:textInput/>
                </w:ffData>
              </w:fldChar>
            </w:r>
            <w:bookmarkStart w:id="32" w:name="Text178"/>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32"/>
            <w:r w:rsidR="00E84533">
              <w:rPr>
                <w:rFonts w:ascii="Garamond" w:eastAsia="Times New Roman" w:hAnsi="Garamond" w:cstheme="minorHAnsi"/>
                <w:b/>
                <w:lang w:eastAsia="en-AU"/>
              </w:rPr>
              <w:fldChar w:fldCharType="begin">
                <w:ffData>
                  <w:name w:val="Text179"/>
                  <w:enabled/>
                  <w:calcOnExit w:val="0"/>
                  <w:textInput/>
                </w:ffData>
              </w:fldChar>
            </w:r>
            <w:bookmarkStart w:id="33" w:name="Text179"/>
            <w:r w:rsidR="00E84533">
              <w:rPr>
                <w:rFonts w:ascii="Garamond" w:eastAsia="Times New Roman" w:hAnsi="Garamond" w:cstheme="minorHAnsi"/>
                <w:b/>
                <w:lang w:eastAsia="en-AU"/>
              </w:rPr>
              <w:instrText xml:space="preserve"> FORMTEXT </w:instrText>
            </w:r>
            <w:r w:rsidR="00E84533">
              <w:rPr>
                <w:rFonts w:ascii="Garamond" w:eastAsia="Times New Roman" w:hAnsi="Garamond" w:cstheme="minorHAnsi"/>
                <w:b/>
                <w:lang w:eastAsia="en-AU"/>
              </w:rPr>
            </w:r>
            <w:r w:rsidR="00E84533">
              <w:rPr>
                <w:rFonts w:ascii="Garamond" w:eastAsia="Times New Roman" w:hAnsi="Garamond" w:cstheme="minorHAnsi"/>
                <w:b/>
                <w:lang w:eastAsia="en-AU"/>
              </w:rPr>
              <w:fldChar w:fldCharType="separate"/>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noProof/>
                <w:lang w:eastAsia="en-AU"/>
              </w:rPr>
              <w:t> </w:t>
            </w:r>
            <w:r w:rsidR="00E84533">
              <w:rPr>
                <w:rFonts w:ascii="Garamond" w:eastAsia="Times New Roman" w:hAnsi="Garamond" w:cstheme="minorHAnsi"/>
                <w:b/>
                <w:lang w:eastAsia="en-AU"/>
              </w:rPr>
              <w:fldChar w:fldCharType="end"/>
            </w:r>
            <w:bookmarkEnd w:id="33"/>
          </w:p>
        </w:tc>
        <w:tc>
          <w:tcPr>
            <w:tcW w:w="2430" w:type="dxa"/>
          </w:tcPr>
          <w:p w:rsidR="00942B53" w:rsidRPr="00EB6C3B" w:rsidRDefault="00254171" w:rsidP="003D0C2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Rebeccah Schaffner</w:t>
            </w:r>
          </w:p>
        </w:tc>
        <w:tc>
          <w:tcPr>
            <w:tcW w:w="2520" w:type="dxa"/>
            <w:shd w:val="pct12" w:color="auto" w:fill="FFFFFF"/>
          </w:tcPr>
          <w:p w:rsidR="00942B53" w:rsidRPr="00EB6C3B" w:rsidRDefault="00942B53" w:rsidP="003D0C2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AOR: </w:t>
            </w:r>
            <w:r w:rsidR="003D0C20">
              <w:rPr>
                <w:rFonts w:ascii="Garamond" w:eastAsia="Times New Roman" w:hAnsi="Garamond" w:cstheme="minorHAnsi"/>
                <w:b/>
                <w:lang w:eastAsia="en-AU"/>
              </w:rPr>
              <w:fldChar w:fldCharType="begin">
                <w:ffData>
                  <w:name w:val="Text8"/>
                  <w:enabled/>
                  <w:calcOnExit w:val="0"/>
                  <w:textInput/>
                </w:ffData>
              </w:fldChar>
            </w:r>
            <w:bookmarkStart w:id="34" w:name="Text8"/>
            <w:r w:rsidR="003D0C20">
              <w:rPr>
                <w:rFonts w:ascii="Garamond" w:eastAsia="Times New Roman" w:hAnsi="Garamond" w:cstheme="minorHAnsi"/>
                <w:b/>
                <w:lang w:eastAsia="en-AU"/>
              </w:rPr>
              <w:instrText xml:space="preserve"> FORMTEXT </w:instrText>
            </w:r>
            <w:r w:rsidR="003D0C20">
              <w:rPr>
                <w:rFonts w:ascii="Garamond" w:eastAsia="Times New Roman" w:hAnsi="Garamond" w:cstheme="minorHAnsi"/>
                <w:b/>
                <w:lang w:eastAsia="en-AU"/>
              </w:rPr>
            </w:r>
            <w:r w:rsidR="003D0C20">
              <w:rPr>
                <w:rFonts w:ascii="Garamond" w:eastAsia="Times New Roman" w:hAnsi="Garamond" w:cstheme="minorHAnsi"/>
                <w:b/>
                <w:lang w:eastAsia="en-AU"/>
              </w:rPr>
              <w:fldChar w:fldCharType="separate"/>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noProof/>
                <w:lang w:eastAsia="en-AU"/>
              </w:rPr>
              <w:t> </w:t>
            </w:r>
            <w:r w:rsidR="003D0C20">
              <w:rPr>
                <w:rFonts w:ascii="Garamond" w:eastAsia="Times New Roman" w:hAnsi="Garamond" w:cstheme="minorHAnsi"/>
                <w:b/>
                <w:lang w:eastAsia="en-AU"/>
              </w:rPr>
              <w:fldChar w:fldCharType="end"/>
            </w:r>
            <w:bookmarkEnd w:id="34"/>
          </w:p>
        </w:tc>
        <w:tc>
          <w:tcPr>
            <w:tcW w:w="2700" w:type="dxa"/>
          </w:tcPr>
          <w:p w:rsidR="00942B53" w:rsidRPr="00EB6C3B" w:rsidRDefault="00254171" w:rsidP="003D0C20">
            <w:pPr>
              <w:keepNext/>
              <w:spacing w:after="0" w:line="240" w:lineRule="auto"/>
              <w:outlineLvl w:val="3"/>
              <w:rPr>
                <w:rFonts w:ascii="Garamond" w:eastAsia="Times New Roman" w:hAnsi="Garamond" w:cstheme="minorHAnsi"/>
                <w:b/>
                <w:sz w:val="24"/>
                <w:szCs w:val="18"/>
                <w:lang w:eastAsia="en-AU"/>
              </w:rPr>
            </w:pPr>
            <w:r>
              <w:rPr>
                <w:rFonts w:ascii="Garamond" w:eastAsia="Times New Roman" w:hAnsi="Garamond" w:cstheme="minorHAnsi"/>
                <w:b/>
                <w:sz w:val="24"/>
                <w:szCs w:val="18"/>
                <w:lang w:eastAsia="en-AU"/>
              </w:rPr>
              <w:t>Neal Allen</w:t>
            </w:r>
          </w:p>
        </w:tc>
      </w:tr>
    </w:tbl>
    <w:p w:rsidR="00942B53" w:rsidRPr="00EB6C3B" w:rsidRDefault="00942B53" w:rsidP="00F5755E">
      <w:pPr>
        <w:jc w:val="center"/>
        <w:rPr>
          <w:rFonts w:ascii="Garamond" w:hAnsi="Garamond" w:cstheme="minorHAnsi"/>
          <w:b/>
          <w:sz w:val="24"/>
          <w:szCs w:val="24"/>
          <w:u w:val="single"/>
        </w:rPr>
      </w:pPr>
    </w:p>
    <w:p w:rsidR="00942B53"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ACCOMPLISHMENTS</w:t>
      </w:r>
    </w:p>
    <w:tbl>
      <w:tblPr>
        <w:tblStyle w:val="TableGrid"/>
        <w:tblW w:w="0" w:type="auto"/>
        <w:tblInd w:w="1080" w:type="dxa"/>
        <w:tblLook w:val="04A0" w:firstRow="1" w:lastRow="0" w:firstColumn="1" w:lastColumn="0" w:noHBand="0" w:noVBand="1"/>
      </w:tblPr>
      <w:tblGrid>
        <w:gridCol w:w="8496"/>
      </w:tblGrid>
      <w:tr w:rsidR="009245AE" w:rsidRPr="00EB6C3B" w:rsidTr="009245AE">
        <w:tc>
          <w:tcPr>
            <w:tcW w:w="9576" w:type="dxa"/>
          </w:tcPr>
          <w:p w:rsidR="009245AE" w:rsidRDefault="009245AE" w:rsidP="009245AE">
            <w:pPr>
              <w:pStyle w:val="ListParagraph"/>
              <w:numPr>
                <w:ilvl w:val="0"/>
                <w:numId w:val="13"/>
              </w:numPr>
              <w:rPr>
                <w:rFonts w:ascii="Garamond" w:hAnsi="Garamond" w:cstheme="minorHAnsi"/>
                <w:b/>
                <w:sz w:val="24"/>
                <w:szCs w:val="24"/>
                <w:u w:val="single"/>
              </w:rPr>
            </w:pPr>
            <w:r w:rsidRPr="00EB6C3B">
              <w:rPr>
                <w:rFonts w:ascii="Garamond" w:hAnsi="Garamond" w:cstheme="minorHAnsi"/>
                <w:b/>
                <w:sz w:val="24"/>
                <w:szCs w:val="24"/>
                <w:u w:val="single"/>
              </w:rPr>
              <w:t>P</w:t>
            </w:r>
            <w:r w:rsidR="00EB6C3B">
              <w:rPr>
                <w:rFonts w:ascii="Garamond" w:hAnsi="Garamond" w:cstheme="minorHAnsi"/>
                <w:b/>
                <w:sz w:val="24"/>
                <w:szCs w:val="24"/>
                <w:u w:val="single"/>
              </w:rPr>
              <w:t>lease describe your p</w:t>
            </w:r>
            <w:r w:rsidRPr="00EB6C3B">
              <w:rPr>
                <w:rFonts w:ascii="Garamond" w:hAnsi="Garamond" w:cstheme="minorHAnsi"/>
                <w:b/>
                <w:sz w:val="24"/>
                <w:szCs w:val="24"/>
                <w:u w:val="single"/>
              </w:rPr>
              <w:t xml:space="preserve">rogress relative to </w:t>
            </w:r>
            <w:r w:rsidR="00EB6C3B">
              <w:rPr>
                <w:rFonts w:ascii="Garamond" w:hAnsi="Garamond" w:cstheme="minorHAnsi"/>
                <w:b/>
                <w:sz w:val="24"/>
                <w:szCs w:val="24"/>
                <w:u w:val="single"/>
              </w:rPr>
              <w:t xml:space="preserve">the </w:t>
            </w:r>
            <w:r w:rsidRPr="00EB6C3B">
              <w:rPr>
                <w:rFonts w:ascii="Garamond" w:hAnsi="Garamond" w:cstheme="minorHAnsi"/>
                <w:b/>
                <w:sz w:val="24"/>
                <w:szCs w:val="24"/>
                <w:u w:val="single"/>
              </w:rPr>
              <w:t>milestones scheduled during this reporting period</w:t>
            </w:r>
            <w:r w:rsidR="00235209">
              <w:rPr>
                <w:rFonts w:ascii="Garamond" w:hAnsi="Garamond" w:cstheme="minorHAnsi"/>
                <w:b/>
                <w:sz w:val="24"/>
                <w:szCs w:val="24"/>
                <w:u w:val="single"/>
              </w:rPr>
              <w:t>.</w:t>
            </w:r>
          </w:p>
          <w:p w:rsidR="003D0C20" w:rsidRPr="00254171" w:rsidRDefault="00254171" w:rsidP="003D0C20">
            <w:pPr>
              <w:rPr>
                <w:rFonts w:ascii="Garamond" w:hAnsi="Garamond" w:cstheme="minorHAnsi"/>
                <w:sz w:val="24"/>
                <w:szCs w:val="24"/>
              </w:rPr>
            </w:pPr>
            <w:r>
              <w:rPr>
                <w:rFonts w:ascii="Garamond" w:hAnsi="Garamond" w:cstheme="minorHAnsi"/>
                <w:sz w:val="24"/>
                <w:szCs w:val="24"/>
              </w:rPr>
              <w:t>All remaining tasks, including the additional 2 Centers of Opportunity pilot projects included in our no-cost extension were completed this period.</w:t>
            </w:r>
          </w:p>
          <w:p w:rsidR="00235209" w:rsidRPr="003D0C20" w:rsidRDefault="00235209" w:rsidP="00235209">
            <w:pPr>
              <w:rPr>
                <w:rFonts w:ascii="Garamond" w:hAnsi="Garamond" w:cstheme="minorHAnsi"/>
                <w:b/>
                <w:sz w:val="24"/>
                <w:szCs w:val="24"/>
              </w:rPr>
            </w:pPr>
          </w:p>
          <w:p w:rsidR="00EB6C3B" w:rsidRPr="00EB6C3B" w:rsidRDefault="00EB6C3B" w:rsidP="009245AE">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 xml:space="preserve">Please describe the percentage completion for each of the major </w:t>
            </w:r>
            <w:r w:rsidR="00235209">
              <w:rPr>
                <w:rFonts w:ascii="Garamond" w:hAnsi="Garamond" w:cstheme="minorHAnsi"/>
                <w:b/>
                <w:sz w:val="24"/>
                <w:szCs w:val="24"/>
                <w:u w:val="single"/>
              </w:rPr>
              <w:t>task categories identified in your negotiated workplan.</w:t>
            </w:r>
          </w:p>
          <w:p w:rsidR="00254171" w:rsidRDefault="00254171" w:rsidP="00254171">
            <w:pPr>
              <w:jc w:val="both"/>
              <w:rPr>
                <w:rFonts w:ascii="Garamond" w:hAnsi="Garamond" w:cstheme="minorHAnsi"/>
                <w:sz w:val="24"/>
                <w:szCs w:val="24"/>
              </w:rPr>
            </w:pPr>
            <w:r>
              <w:rPr>
                <w:rFonts w:ascii="Garamond" w:hAnsi="Garamond" w:cstheme="minorHAnsi"/>
                <w:sz w:val="24"/>
                <w:szCs w:val="24"/>
              </w:rPr>
              <w:t>Task 2.1 Consortium Agreement: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2.2 Work Plan: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3.4 Existing Conditions: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4.1 Alternative Development Patterns: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4.2 Regional Goals &amp; Objectives: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4.4 Centers of Opportunity Goals &amp; Objectives: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4.6 Identify Selected Centers of Opportunity for Detailed Study: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5.1.6 Analysis of Existing Development Standards: 100%</w:t>
            </w:r>
          </w:p>
          <w:p w:rsidR="00254171" w:rsidRDefault="00254171" w:rsidP="00254171">
            <w:pPr>
              <w:jc w:val="both"/>
              <w:rPr>
                <w:rFonts w:ascii="Garamond" w:hAnsi="Garamond" w:cstheme="minorHAnsi"/>
                <w:sz w:val="24"/>
                <w:szCs w:val="24"/>
              </w:rPr>
            </w:pPr>
          </w:p>
          <w:p w:rsidR="00254171" w:rsidRPr="00B250DA" w:rsidRDefault="00254171" w:rsidP="00254171">
            <w:pPr>
              <w:jc w:val="both"/>
              <w:rPr>
                <w:rFonts w:ascii="Garamond" w:hAnsi="Garamond" w:cstheme="minorHAnsi"/>
                <w:sz w:val="24"/>
                <w:szCs w:val="24"/>
              </w:rPr>
            </w:pPr>
            <w:r>
              <w:rPr>
                <w:rFonts w:ascii="Garamond" w:hAnsi="Garamond" w:cstheme="minorHAnsi"/>
                <w:sz w:val="24"/>
                <w:szCs w:val="24"/>
              </w:rPr>
              <w:t>Task 5.2.1 Integrate MPOs’ Existing Long Range Plans: 100%</w:t>
            </w:r>
          </w:p>
          <w:p w:rsidR="00254171" w:rsidRDefault="00254171" w:rsidP="00254171">
            <w:pPr>
              <w:jc w:val="both"/>
              <w:rPr>
                <w:rFonts w:ascii="Garamond" w:hAnsi="Garamond" w:cstheme="minorHAnsi"/>
                <w:b/>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5.3.3 Fair Housing Analysis: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5.5.1 Comprehensive Asset-Based Economic Development Strategy: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sidRPr="00FC321B">
              <w:rPr>
                <w:rFonts w:ascii="Garamond" w:hAnsi="Garamond" w:cstheme="minorHAnsi"/>
                <w:sz w:val="24"/>
                <w:szCs w:val="24"/>
              </w:rPr>
              <w:t>Task 5.5.3 Access to T</w:t>
            </w:r>
            <w:r>
              <w:rPr>
                <w:rFonts w:ascii="Garamond" w:hAnsi="Garamond" w:cstheme="minorHAnsi"/>
                <w:sz w:val="24"/>
                <w:szCs w:val="24"/>
              </w:rPr>
              <w:t>raining and Higher Education: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5.5.5 Local Product Delivery System: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5.6.1.1 Energy Inventory: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lastRenderedPageBreak/>
              <w:t>Task 6.3 Capital Investment Plan: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6.4 Capital Investment Policy: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7.1.3 Cross-Cultural and Language Inclusion: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7.1.5 Public Engagement Social Infrastructure: 100%</w:t>
            </w:r>
          </w:p>
          <w:p w:rsidR="00254171"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Pr>
                <w:rFonts w:ascii="Garamond" w:hAnsi="Garamond" w:cstheme="minorHAnsi"/>
                <w:sz w:val="24"/>
                <w:szCs w:val="24"/>
              </w:rPr>
              <w:t>Task 7.2.2 Public Engagement Process for Centers of Opportunity: 100%</w:t>
            </w:r>
          </w:p>
          <w:p w:rsidR="00E50B85" w:rsidRPr="00EB6C3B" w:rsidRDefault="00E50B85" w:rsidP="009245AE">
            <w:pPr>
              <w:rPr>
                <w:rFonts w:ascii="Garamond" w:hAnsi="Garamond" w:cstheme="minorHAnsi"/>
                <w:b/>
                <w:sz w:val="24"/>
                <w:szCs w:val="24"/>
              </w:rPr>
            </w:pPr>
          </w:p>
          <w:p w:rsidR="009245AE" w:rsidRPr="00EB6C3B" w:rsidRDefault="009245AE" w:rsidP="009245AE">
            <w:pPr>
              <w:pStyle w:val="ListParagraph"/>
              <w:numPr>
                <w:ilvl w:val="0"/>
                <w:numId w:val="13"/>
              </w:numPr>
              <w:rPr>
                <w:rFonts w:ascii="Garamond" w:hAnsi="Garamond" w:cstheme="minorHAnsi"/>
                <w:b/>
                <w:sz w:val="24"/>
                <w:szCs w:val="24"/>
                <w:u w:val="single"/>
              </w:rPr>
            </w:pPr>
            <w:r w:rsidRPr="00EB6C3B">
              <w:rPr>
                <w:rFonts w:ascii="Garamond" w:hAnsi="Garamond" w:cstheme="minorHAnsi"/>
                <w:b/>
                <w:sz w:val="24"/>
                <w:szCs w:val="24"/>
                <w:u w:val="single"/>
              </w:rPr>
              <w:t>P</w:t>
            </w:r>
            <w:r w:rsidR="00EB6C3B">
              <w:rPr>
                <w:rFonts w:ascii="Garamond" w:hAnsi="Garamond" w:cstheme="minorHAnsi"/>
                <w:b/>
                <w:sz w:val="24"/>
                <w:szCs w:val="24"/>
                <w:u w:val="single"/>
              </w:rPr>
              <w:t>lease describe your p</w:t>
            </w:r>
            <w:r w:rsidRPr="00EB6C3B">
              <w:rPr>
                <w:rFonts w:ascii="Garamond" w:hAnsi="Garamond" w:cstheme="minorHAnsi"/>
                <w:b/>
                <w:sz w:val="24"/>
                <w:szCs w:val="24"/>
                <w:u w:val="single"/>
              </w:rPr>
              <w:t xml:space="preserve">rogress with </w:t>
            </w:r>
            <w:r w:rsidR="00EB6C3B">
              <w:rPr>
                <w:rFonts w:ascii="Garamond" w:hAnsi="Garamond" w:cstheme="minorHAnsi"/>
                <w:b/>
                <w:sz w:val="24"/>
                <w:szCs w:val="24"/>
                <w:u w:val="single"/>
              </w:rPr>
              <w:t>c</w:t>
            </w:r>
            <w:r w:rsidRPr="00EB6C3B">
              <w:rPr>
                <w:rFonts w:ascii="Garamond" w:hAnsi="Garamond" w:cstheme="minorHAnsi"/>
                <w:b/>
                <w:sz w:val="24"/>
                <w:szCs w:val="24"/>
                <w:u w:val="single"/>
              </w:rPr>
              <w:t>ontract</w:t>
            </w:r>
            <w:r w:rsidR="00EB6C3B">
              <w:rPr>
                <w:rFonts w:ascii="Garamond" w:hAnsi="Garamond" w:cstheme="minorHAnsi"/>
                <w:b/>
                <w:sz w:val="24"/>
                <w:szCs w:val="24"/>
                <w:u w:val="single"/>
              </w:rPr>
              <w:t xml:space="preserve"> and s</w:t>
            </w:r>
            <w:r w:rsidRPr="00EB6C3B">
              <w:rPr>
                <w:rFonts w:ascii="Garamond" w:hAnsi="Garamond" w:cstheme="minorHAnsi"/>
                <w:b/>
                <w:sz w:val="24"/>
                <w:szCs w:val="24"/>
                <w:u w:val="single"/>
              </w:rPr>
              <w:t xml:space="preserve">ub-award </w:t>
            </w:r>
            <w:r w:rsidR="00EB6C3B">
              <w:rPr>
                <w:rFonts w:ascii="Garamond" w:hAnsi="Garamond" w:cstheme="minorHAnsi"/>
                <w:b/>
                <w:sz w:val="24"/>
                <w:szCs w:val="24"/>
                <w:u w:val="single"/>
              </w:rPr>
              <w:t>m</w:t>
            </w:r>
            <w:r w:rsidRPr="00EB6C3B">
              <w:rPr>
                <w:rFonts w:ascii="Garamond" w:hAnsi="Garamond" w:cstheme="minorHAnsi"/>
                <w:b/>
                <w:sz w:val="24"/>
                <w:szCs w:val="24"/>
                <w:u w:val="single"/>
              </w:rPr>
              <w:t>anagement</w:t>
            </w:r>
            <w:r w:rsidR="00EB6C3B">
              <w:rPr>
                <w:rFonts w:ascii="Garamond" w:hAnsi="Garamond" w:cstheme="minorHAnsi"/>
                <w:b/>
                <w:sz w:val="24"/>
                <w:szCs w:val="24"/>
                <w:u w:val="single"/>
              </w:rPr>
              <w:t>, including any issues you are experiencing or anticipating</w:t>
            </w:r>
            <w:r w:rsidRPr="00EB6C3B">
              <w:rPr>
                <w:rFonts w:ascii="Garamond" w:hAnsi="Garamond" w:cstheme="minorHAnsi"/>
                <w:b/>
                <w:sz w:val="24"/>
                <w:szCs w:val="24"/>
                <w:u w:val="single"/>
              </w:rPr>
              <w:t>:</w:t>
            </w:r>
          </w:p>
          <w:p w:rsidR="00254171" w:rsidRPr="00AA7DAA" w:rsidRDefault="00254171" w:rsidP="00254171">
            <w:pPr>
              <w:pStyle w:val="ListParagraph"/>
              <w:ind w:left="0"/>
              <w:jc w:val="both"/>
              <w:rPr>
                <w:rFonts w:ascii="Garamond" w:hAnsi="Garamond" w:cstheme="minorHAnsi"/>
                <w:sz w:val="24"/>
                <w:szCs w:val="24"/>
              </w:rPr>
            </w:pPr>
            <w:r w:rsidRPr="00C9075B">
              <w:rPr>
                <w:rFonts w:ascii="Garamond" w:hAnsi="Garamond" w:cstheme="minorHAnsi"/>
                <w:sz w:val="24"/>
                <w:szCs w:val="24"/>
              </w:rPr>
              <w:t xml:space="preserve">Southern Maine Regional Planning </w:t>
            </w:r>
            <w:r>
              <w:rPr>
                <w:rFonts w:ascii="Garamond" w:hAnsi="Garamond" w:cstheme="minorHAnsi"/>
                <w:sz w:val="24"/>
                <w:szCs w:val="24"/>
              </w:rPr>
              <w:t xml:space="preserve">and Development </w:t>
            </w:r>
            <w:r w:rsidRPr="00C9075B">
              <w:rPr>
                <w:rFonts w:ascii="Garamond" w:hAnsi="Garamond" w:cstheme="minorHAnsi"/>
                <w:sz w:val="24"/>
                <w:szCs w:val="24"/>
              </w:rPr>
              <w:t>Commission (sub-grantee): This</w:t>
            </w:r>
            <w:r>
              <w:rPr>
                <w:rFonts w:ascii="Garamond" w:hAnsi="Garamond" w:cstheme="minorHAnsi"/>
                <w:sz w:val="24"/>
                <w:szCs w:val="24"/>
              </w:rPr>
              <w:t xml:space="preserve"> grantee has expended 100% of their funds</w:t>
            </w:r>
          </w:p>
          <w:p w:rsidR="00254171" w:rsidRPr="00EB6C3B" w:rsidRDefault="00254171" w:rsidP="00254171">
            <w:pPr>
              <w:jc w:val="both"/>
              <w:rPr>
                <w:rFonts w:ascii="Garamond" w:hAnsi="Garamond" w:cstheme="minorHAnsi"/>
                <w:b/>
                <w:sz w:val="24"/>
                <w:szCs w:val="24"/>
              </w:rPr>
            </w:pPr>
          </w:p>
          <w:p w:rsidR="00254171" w:rsidRPr="00C9075B" w:rsidRDefault="00254171" w:rsidP="00254171">
            <w:pPr>
              <w:jc w:val="both"/>
              <w:rPr>
                <w:rFonts w:ascii="Garamond" w:hAnsi="Garamond" w:cstheme="minorHAnsi"/>
                <w:sz w:val="24"/>
                <w:szCs w:val="24"/>
              </w:rPr>
            </w:pPr>
            <w:r w:rsidRPr="00C9075B">
              <w:rPr>
                <w:rFonts w:ascii="Garamond" w:hAnsi="Garamond" w:cstheme="minorHAnsi"/>
                <w:sz w:val="24"/>
                <w:szCs w:val="24"/>
              </w:rPr>
              <w:t>Muskie School of Public Service/University of Southern Ma</w:t>
            </w:r>
            <w:r>
              <w:rPr>
                <w:rFonts w:ascii="Garamond" w:hAnsi="Garamond" w:cstheme="minorHAnsi"/>
                <w:sz w:val="24"/>
                <w:szCs w:val="24"/>
              </w:rPr>
              <w:t>ine (sub-grantee): This grantee has expended 100% of their funds.</w:t>
            </w:r>
          </w:p>
          <w:p w:rsidR="00254171" w:rsidRPr="00C9075B" w:rsidRDefault="00254171" w:rsidP="00254171">
            <w:pPr>
              <w:jc w:val="both"/>
              <w:rPr>
                <w:rFonts w:ascii="Garamond" w:hAnsi="Garamond" w:cstheme="minorHAnsi"/>
                <w:b/>
                <w:sz w:val="24"/>
                <w:szCs w:val="24"/>
              </w:rPr>
            </w:pPr>
          </w:p>
          <w:p w:rsidR="00254171" w:rsidRPr="00C9075B" w:rsidRDefault="00254171" w:rsidP="00254171">
            <w:pPr>
              <w:jc w:val="both"/>
              <w:rPr>
                <w:rFonts w:ascii="Garamond" w:hAnsi="Garamond" w:cstheme="minorHAnsi"/>
                <w:sz w:val="24"/>
                <w:szCs w:val="24"/>
              </w:rPr>
            </w:pPr>
            <w:r w:rsidRPr="00C9075B">
              <w:rPr>
                <w:rFonts w:ascii="Garamond" w:hAnsi="Garamond" w:cstheme="minorHAnsi"/>
                <w:sz w:val="24"/>
                <w:szCs w:val="24"/>
              </w:rPr>
              <w:t>Cumberland County (sub-</w:t>
            </w:r>
            <w:r>
              <w:rPr>
                <w:rFonts w:ascii="Garamond" w:hAnsi="Garamond" w:cstheme="minorHAnsi"/>
                <w:sz w:val="24"/>
                <w:szCs w:val="24"/>
              </w:rPr>
              <w:t>grantee): This grantee has expended 100% of their funds.</w:t>
            </w:r>
          </w:p>
          <w:p w:rsidR="00254171" w:rsidRPr="00C9075B" w:rsidRDefault="00254171" w:rsidP="00254171">
            <w:pPr>
              <w:jc w:val="both"/>
              <w:rPr>
                <w:rFonts w:ascii="Garamond" w:hAnsi="Garamond" w:cstheme="minorHAnsi"/>
                <w:sz w:val="24"/>
                <w:szCs w:val="24"/>
              </w:rPr>
            </w:pPr>
          </w:p>
          <w:p w:rsidR="00254171" w:rsidRPr="00C9075B" w:rsidRDefault="00254171" w:rsidP="00254171">
            <w:pPr>
              <w:jc w:val="both"/>
              <w:rPr>
                <w:rFonts w:ascii="Garamond" w:hAnsi="Garamond" w:cstheme="minorHAnsi"/>
                <w:sz w:val="24"/>
                <w:szCs w:val="24"/>
              </w:rPr>
            </w:pPr>
            <w:r w:rsidRPr="00C9075B">
              <w:rPr>
                <w:rFonts w:ascii="Garamond" w:hAnsi="Garamond" w:cstheme="minorHAnsi"/>
                <w:sz w:val="24"/>
                <w:szCs w:val="24"/>
              </w:rPr>
              <w:t xml:space="preserve">Morris Communications (consultant): </w:t>
            </w:r>
            <w:r>
              <w:rPr>
                <w:rFonts w:ascii="Garamond" w:hAnsi="Garamond" w:cstheme="minorHAnsi"/>
                <w:sz w:val="24"/>
                <w:szCs w:val="24"/>
              </w:rPr>
              <w:t xml:space="preserve">This consultant has </w:t>
            </w:r>
            <w:r w:rsidRPr="005313C9">
              <w:rPr>
                <w:rFonts w:ascii="Garamond" w:hAnsi="Garamond" w:cstheme="minorHAnsi"/>
                <w:sz w:val="24"/>
                <w:szCs w:val="24"/>
              </w:rPr>
              <w:t>expended 100</w:t>
            </w:r>
            <w:r w:rsidRPr="00C9075B">
              <w:rPr>
                <w:rFonts w:ascii="Garamond" w:hAnsi="Garamond" w:cstheme="minorHAnsi"/>
                <w:sz w:val="24"/>
                <w:szCs w:val="24"/>
              </w:rPr>
              <w:t>%</w:t>
            </w:r>
            <w:r>
              <w:rPr>
                <w:rFonts w:ascii="Garamond" w:hAnsi="Garamond" w:cstheme="minorHAnsi"/>
                <w:sz w:val="24"/>
                <w:szCs w:val="24"/>
              </w:rPr>
              <w:t xml:space="preserve"> of their funds and has</w:t>
            </w:r>
            <w:r w:rsidRPr="00C9075B">
              <w:rPr>
                <w:rFonts w:ascii="Garamond" w:hAnsi="Garamond" w:cstheme="minorHAnsi"/>
                <w:sz w:val="24"/>
                <w:szCs w:val="24"/>
              </w:rPr>
              <w:t xml:space="preserve"> complete</w:t>
            </w:r>
            <w:r>
              <w:rPr>
                <w:rFonts w:ascii="Garamond" w:hAnsi="Garamond" w:cstheme="minorHAnsi"/>
                <w:sz w:val="24"/>
                <w:szCs w:val="24"/>
              </w:rPr>
              <w:t>d all</w:t>
            </w:r>
            <w:r w:rsidRPr="00C9075B">
              <w:rPr>
                <w:rFonts w:ascii="Garamond" w:hAnsi="Garamond" w:cstheme="minorHAnsi"/>
                <w:sz w:val="24"/>
                <w:szCs w:val="24"/>
              </w:rPr>
              <w:t xml:space="preserve"> agreed upon tasks.</w:t>
            </w:r>
          </w:p>
          <w:p w:rsidR="00254171" w:rsidRPr="00C9075B" w:rsidRDefault="00254171" w:rsidP="00254171">
            <w:pPr>
              <w:jc w:val="both"/>
              <w:rPr>
                <w:rFonts w:ascii="Garamond" w:hAnsi="Garamond" w:cstheme="minorHAnsi"/>
                <w:sz w:val="24"/>
                <w:szCs w:val="24"/>
              </w:rPr>
            </w:pPr>
          </w:p>
          <w:p w:rsidR="00254171" w:rsidRDefault="00254171" w:rsidP="00254171">
            <w:pPr>
              <w:jc w:val="both"/>
              <w:rPr>
                <w:rFonts w:ascii="Garamond" w:hAnsi="Garamond" w:cstheme="minorHAnsi"/>
                <w:sz w:val="24"/>
                <w:szCs w:val="24"/>
              </w:rPr>
            </w:pPr>
            <w:r w:rsidRPr="00C9075B">
              <w:rPr>
                <w:rFonts w:ascii="Garamond" w:hAnsi="Garamond" w:cstheme="minorHAnsi"/>
                <w:sz w:val="24"/>
                <w:szCs w:val="24"/>
              </w:rPr>
              <w:t>Mark Ouellette (consultant):</w:t>
            </w:r>
            <w:r>
              <w:rPr>
                <w:rFonts w:ascii="Garamond" w:hAnsi="Garamond" w:cstheme="minorHAnsi"/>
                <w:sz w:val="24"/>
                <w:szCs w:val="24"/>
              </w:rPr>
              <w:t xml:space="preserve"> This consultant has expended </w:t>
            </w:r>
            <w:r w:rsidR="00321675">
              <w:rPr>
                <w:rFonts w:ascii="Garamond" w:hAnsi="Garamond" w:cstheme="minorHAnsi"/>
                <w:sz w:val="24"/>
                <w:szCs w:val="24"/>
              </w:rPr>
              <w:t>100% of their funds.</w:t>
            </w:r>
          </w:p>
          <w:p w:rsidR="00321675" w:rsidRDefault="00321675" w:rsidP="00254171">
            <w:pPr>
              <w:jc w:val="both"/>
              <w:rPr>
                <w:rFonts w:ascii="Garamond" w:hAnsi="Garamond" w:cstheme="minorHAnsi"/>
                <w:sz w:val="24"/>
                <w:szCs w:val="24"/>
              </w:rPr>
            </w:pPr>
          </w:p>
          <w:p w:rsidR="003D0C20" w:rsidRPr="00321675" w:rsidRDefault="00321675" w:rsidP="00321675">
            <w:pPr>
              <w:jc w:val="both"/>
              <w:rPr>
                <w:rFonts w:ascii="Garamond" w:hAnsi="Garamond" w:cstheme="minorHAnsi"/>
                <w:sz w:val="24"/>
                <w:szCs w:val="24"/>
              </w:rPr>
            </w:pPr>
            <w:r>
              <w:rPr>
                <w:rFonts w:ascii="Garamond" w:hAnsi="Garamond" w:cstheme="minorHAnsi"/>
                <w:sz w:val="24"/>
                <w:szCs w:val="24"/>
              </w:rPr>
              <w:t>Tilson Technologies (consultant): This consultant has expended 100% of their funds.</w:t>
            </w:r>
          </w:p>
          <w:p w:rsidR="00E50B85" w:rsidRPr="00EB6C3B" w:rsidRDefault="00E50B85" w:rsidP="009245AE">
            <w:pPr>
              <w:rPr>
                <w:rFonts w:ascii="Garamond" w:hAnsi="Garamond" w:cstheme="minorHAnsi"/>
                <w:b/>
                <w:sz w:val="24"/>
                <w:szCs w:val="24"/>
              </w:rPr>
            </w:pPr>
          </w:p>
          <w:p w:rsidR="00EB6C3B" w:rsidRPr="00EB6C3B" w:rsidRDefault="00EB6C3B" w:rsidP="00EB6C3B">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Please provide a</w:t>
            </w:r>
            <w:r w:rsidR="00A15DDC">
              <w:rPr>
                <w:rFonts w:ascii="Garamond" w:hAnsi="Garamond" w:cstheme="minorHAnsi"/>
                <w:b/>
                <w:sz w:val="24"/>
                <w:szCs w:val="24"/>
                <w:u w:val="single"/>
              </w:rPr>
              <w:t>n</w:t>
            </w:r>
            <w:r>
              <w:rPr>
                <w:rFonts w:ascii="Garamond" w:hAnsi="Garamond" w:cstheme="minorHAnsi"/>
                <w:b/>
                <w:sz w:val="24"/>
                <w:szCs w:val="24"/>
                <w:u w:val="single"/>
              </w:rPr>
              <w:t xml:space="preserve"> u</w:t>
            </w:r>
            <w:r w:rsidR="009245AE" w:rsidRPr="00EB6C3B">
              <w:rPr>
                <w:rFonts w:ascii="Garamond" w:hAnsi="Garamond" w:cstheme="minorHAnsi"/>
                <w:b/>
                <w:sz w:val="24"/>
                <w:szCs w:val="24"/>
                <w:u w:val="single"/>
              </w:rPr>
              <w:t>pdate with</w:t>
            </w:r>
            <w:r>
              <w:rPr>
                <w:rFonts w:ascii="Garamond" w:hAnsi="Garamond" w:cstheme="minorHAnsi"/>
                <w:b/>
                <w:sz w:val="24"/>
                <w:szCs w:val="24"/>
                <w:u w:val="single"/>
              </w:rPr>
              <w:t xml:space="preserve"> regards to the project’s</w:t>
            </w:r>
            <w:r w:rsidR="009245AE" w:rsidRPr="00EB6C3B">
              <w:rPr>
                <w:rFonts w:ascii="Garamond" w:hAnsi="Garamond" w:cstheme="minorHAnsi"/>
                <w:b/>
                <w:sz w:val="24"/>
                <w:szCs w:val="24"/>
                <w:u w:val="single"/>
              </w:rPr>
              <w:t xml:space="preserve"> </w:t>
            </w:r>
            <w:r>
              <w:rPr>
                <w:rFonts w:ascii="Garamond" w:hAnsi="Garamond" w:cstheme="minorHAnsi"/>
                <w:b/>
                <w:sz w:val="24"/>
                <w:szCs w:val="24"/>
                <w:u w:val="single"/>
              </w:rPr>
              <w:t>m</w:t>
            </w:r>
            <w:r w:rsidR="009245AE" w:rsidRPr="00EB6C3B">
              <w:rPr>
                <w:rFonts w:ascii="Garamond" w:hAnsi="Garamond" w:cstheme="minorHAnsi"/>
                <w:b/>
                <w:sz w:val="24"/>
                <w:szCs w:val="24"/>
                <w:u w:val="single"/>
              </w:rPr>
              <w:t>atch/</w:t>
            </w:r>
            <w:r>
              <w:rPr>
                <w:rFonts w:ascii="Garamond" w:hAnsi="Garamond" w:cstheme="minorHAnsi"/>
                <w:b/>
                <w:sz w:val="24"/>
                <w:szCs w:val="24"/>
                <w:u w:val="single"/>
              </w:rPr>
              <w:t>l</w:t>
            </w:r>
            <w:r w:rsidR="009245AE" w:rsidRPr="00EB6C3B">
              <w:rPr>
                <w:rFonts w:ascii="Garamond" w:hAnsi="Garamond" w:cstheme="minorHAnsi"/>
                <w:b/>
                <w:sz w:val="24"/>
                <w:szCs w:val="24"/>
                <w:u w:val="single"/>
              </w:rPr>
              <w:t xml:space="preserve">everage </w:t>
            </w:r>
            <w:r>
              <w:rPr>
                <w:rFonts w:ascii="Garamond" w:hAnsi="Garamond" w:cstheme="minorHAnsi"/>
                <w:b/>
                <w:sz w:val="24"/>
                <w:szCs w:val="24"/>
                <w:u w:val="single"/>
              </w:rPr>
              <w:t>c</w:t>
            </w:r>
            <w:r w:rsidRPr="00EB6C3B">
              <w:rPr>
                <w:rFonts w:ascii="Garamond" w:hAnsi="Garamond" w:cstheme="minorHAnsi"/>
                <w:b/>
                <w:sz w:val="24"/>
                <w:szCs w:val="24"/>
                <w:u w:val="single"/>
              </w:rPr>
              <w:t>ommitments</w:t>
            </w:r>
            <w:r>
              <w:rPr>
                <w:rFonts w:ascii="Garamond" w:hAnsi="Garamond" w:cstheme="minorHAnsi"/>
                <w:b/>
                <w:sz w:val="24"/>
                <w:szCs w:val="24"/>
                <w:u w:val="single"/>
              </w:rPr>
              <w:t>.</w:t>
            </w:r>
          </w:p>
          <w:p w:rsidR="003244FC" w:rsidRPr="000009B6" w:rsidRDefault="003244FC" w:rsidP="003244FC">
            <w:pPr>
              <w:jc w:val="both"/>
              <w:rPr>
                <w:rFonts w:ascii="Garamond" w:hAnsi="Garamond" w:cstheme="minorHAnsi"/>
                <w:sz w:val="24"/>
                <w:szCs w:val="24"/>
              </w:rPr>
            </w:pPr>
            <w:r>
              <w:rPr>
                <w:rFonts w:ascii="Garamond" w:hAnsi="Garamond" w:cstheme="minorHAnsi"/>
                <w:sz w:val="24"/>
                <w:szCs w:val="24"/>
              </w:rPr>
              <w:t>Greater Portland Council of Governments (lead applicant):</w:t>
            </w:r>
            <w:r w:rsidR="00C56EA0">
              <w:rPr>
                <w:rFonts w:ascii="Garamond" w:hAnsi="Garamond" w:cstheme="minorHAnsi"/>
                <w:sz w:val="24"/>
                <w:szCs w:val="24"/>
              </w:rPr>
              <w:t xml:space="preserve"> $117,824.51</w:t>
            </w:r>
          </w:p>
          <w:p w:rsidR="003244FC" w:rsidRDefault="003244FC" w:rsidP="003244FC">
            <w:pPr>
              <w:jc w:val="both"/>
              <w:rPr>
                <w:rFonts w:ascii="Garamond" w:hAnsi="Garamond" w:cstheme="minorHAnsi"/>
                <w:b/>
                <w:sz w:val="24"/>
                <w:szCs w:val="24"/>
                <w:u w:val="single"/>
              </w:rPr>
            </w:pPr>
          </w:p>
          <w:p w:rsidR="003244FC" w:rsidRDefault="003244FC" w:rsidP="003244FC">
            <w:pPr>
              <w:jc w:val="both"/>
              <w:rPr>
                <w:rFonts w:ascii="Garamond" w:hAnsi="Garamond" w:cstheme="minorHAnsi"/>
                <w:b/>
                <w:sz w:val="24"/>
                <w:szCs w:val="24"/>
                <w:u w:val="single"/>
              </w:rPr>
            </w:pPr>
            <w:r w:rsidRPr="00C9075B">
              <w:rPr>
                <w:rFonts w:ascii="Garamond" w:hAnsi="Garamond" w:cstheme="minorHAnsi"/>
                <w:sz w:val="24"/>
                <w:szCs w:val="24"/>
              </w:rPr>
              <w:t xml:space="preserve">Southern Maine Regional Planning </w:t>
            </w:r>
            <w:r>
              <w:rPr>
                <w:rFonts w:ascii="Garamond" w:hAnsi="Garamond" w:cstheme="minorHAnsi"/>
                <w:sz w:val="24"/>
                <w:szCs w:val="24"/>
              </w:rPr>
              <w:t xml:space="preserve">and Development </w:t>
            </w:r>
            <w:r w:rsidRPr="00C9075B">
              <w:rPr>
                <w:rFonts w:ascii="Garamond" w:hAnsi="Garamond" w:cstheme="minorHAnsi"/>
                <w:sz w:val="24"/>
                <w:szCs w:val="24"/>
              </w:rPr>
              <w:t>Commission (sub-grantee):</w:t>
            </w:r>
            <w:r>
              <w:rPr>
                <w:rFonts w:ascii="Garamond" w:hAnsi="Garamond" w:cstheme="minorHAnsi"/>
                <w:sz w:val="24"/>
                <w:szCs w:val="24"/>
              </w:rPr>
              <w:t xml:space="preserve"> </w:t>
            </w:r>
            <w:r w:rsidRPr="0097335E">
              <w:rPr>
                <w:rFonts w:ascii="Garamond" w:hAnsi="Garamond" w:cstheme="minorHAnsi"/>
                <w:sz w:val="24"/>
                <w:szCs w:val="24"/>
              </w:rPr>
              <w:t>$5,641.34</w:t>
            </w:r>
          </w:p>
          <w:p w:rsidR="003244FC" w:rsidRDefault="003244FC" w:rsidP="003244FC">
            <w:pPr>
              <w:jc w:val="both"/>
              <w:rPr>
                <w:rFonts w:ascii="Garamond" w:hAnsi="Garamond" w:cstheme="minorHAnsi"/>
                <w:b/>
                <w:sz w:val="24"/>
                <w:szCs w:val="24"/>
                <w:u w:val="single"/>
              </w:rPr>
            </w:pPr>
          </w:p>
          <w:p w:rsidR="00A15DDC" w:rsidRDefault="003244FC" w:rsidP="003244FC">
            <w:pPr>
              <w:rPr>
                <w:rFonts w:ascii="Garamond" w:hAnsi="Garamond" w:cstheme="minorHAnsi"/>
                <w:b/>
                <w:sz w:val="24"/>
                <w:szCs w:val="24"/>
                <w:u w:val="single"/>
              </w:rPr>
            </w:pPr>
            <w:r w:rsidRPr="00C9075B">
              <w:rPr>
                <w:rFonts w:ascii="Garamond" w:hAnsi="Garamond" w:cstheme="minorHAnsi"/>
                <w:sz w:val="24"/>
                <w:szCs w:val="24"/>
              </w:rPr>
              <w:t>Muskie School of Public Service/University of Southern Maine (sub-grantee):</w:t>
            </w:r>
            <w:r>
              <w:rPr>
                <w:rFonts w:ascii="Garamond" w:hAnsi="Garamond" w:cstheme="minorHAnsi"/>
                <w:sz w:val="24"/>
                <w:szCs w:val="24"/>
              </w:rPr>
              <w:t xml:space="preserve"> $46,034.15</w:t>
            </w:r>
          </w:p>
          <w:p w:rsidR="00A15DDC" w:rsidRDefault="00A15DDC" w:rsidP="00EB6C3B">
            <w:pPr>
              <w:rPr>
                <w:rFonts w:ascii="Garamond" w:hAnsi="Garamond" w:cstheme="minorHAnsi"/>
                <w:b/>
                <w:sz w:val="24"/>
                <w:szCs w:val="24"/>
                <w:u w:val="single"/>
              </w:rPr>
            </w:pPr>
          </w:p>
          <w:p w:rsidR="00EB6C3B" w:rsidRPr="00EB6C3B" w:rsidRDefault="00EB6C3B" w:rsidP="00EB6C3B">
            <w:pPr>
              <w:rPr>
                <w:rFonts w:ascii="Garamond" w:hAnsi="Garamond" w:cstheme="minorHAnsi"/>
                <w:b/>
                <w:sz w:val="24"/>
                <w:szCs w:val="24"/>
                <w:u w:val="single"/>
              </w:rPr>
            </w:pPr>
          </w:p>
          <w:p w:rsidR="003D0C20" w:rsidRDefault="00EB6C3B" w:rsidP="003D0C20">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Please identify newly developed or existing c</w:t>
            </w:r>
            <w:r w:rsidR="009245AE" w:rsidRPr="00EB6C3B">
              <w:rPr>
                <w:rFonts w:ascii="Garamond" w:hAnsi="Garamond" w:cstheme="minorHAnsi"/>
                <w:b/>
                <w:sz w:val="24"/>
                <w:szCs w:val="24"/>
                <w:u w:val="single"/>
              </w:rPr>
              <w:t>ollaborations</w:t>
            </w:r>
            <w:r>
              <w:rPr>
                <w:rFonts w:ascii="Garamond" w:hAnsi="Garamond" w:cstheme="minorHAnsi"/>
                <w:b/>
                <w:sz w:val="24"/>
                <w:szCs w:val="24"/>
                <w:u w:val="single"/>
              </w:rPr>
              <w:t xml:space="preserve"> and the progress they experienced during the reporting period.</w:t>
            </w:r>
          </w:p>
          <w:p w:rsidR="00BB303D" w:rsidRDefault="00BB303D" w:rsidP="00BB303D">
            <w:pPr>
              <w:pStyle w:val="ListParagraph"/>
              <w:ind w:left="0"/>
              <w:rPr>
                <w:rFonts w:ascii="Garamond" w:hAnsi="Garamond" w:cstheme="minorHAnsi"/>
                <w:sz w:val="24"/>
                <w:szCs w:val="24"/>
              </w:rPr>
            </w:pPr>
            <w:r>
              <w:rPr>
                <w:rFonts w:ascii="Garamond" w:hAnsi="Garamond" w:cstheme="minorHAnsi"/>
                <w:sz w:val="24"/>
                <w:szCs w:val="24"/>
              </w:rPr>
              <w:t>Town of Freeport joined the Partnership in February 2014 and hosted one of two additional Centers of Opportunity pilot projects.  The town’s pilot project was unique from previously conducted pilots in that it inc</w:t>
            </w:r>
            <w:r w:rsidR="00FD57AB">
              <w:rPr>
                <w:rFonts w:ascii="Garamond" w:hAnsi="Garamond" w:cstheme="minorHAnsi"/>
                <w:sz w:val="24"/>
                <w:szCs w:val="24"/>
              </w:rPr>
              <w:t>orporated alternative energy,</w:t>
            </w:r>
            <w:r>
              <w:rPr>
                <w:rFonts w:ascii="Garamond" w:hAnsi="Garamond" w:cstheme="minorHAnsi"/>
                <w:sz w:val="24"/>
                <w:szCs w:val="24"/>
              </w:rPr>
              <w:t xml:space="preserve"> open space</w:t>
            </w:r>
            <w:r w:rsidR="00FD57AB">
              <w:rPr>
                <w:rFonts w:ascii="Garamond" w:hAnsi="Garamond" w:cstheme="minorHAnsi"/>
                <w:sz w:val="24"/>
                <w:szCs w:val="24"/>
              </w:rPr>
              <w:t>, and home affordability</w:t>
            </w:r>
            <w:r>
              <w:rPr>
                <w:rFonts w:ascii="Garamond" w:hAnsi="Garamond" w:cstheme="minorHAnsi"/>
                <w:sz w:val="24"/>
                <w:szCs w:val="24"/>
              </w:rPr>
              <w:t xml:space="preserve"> planning into the discussion and concepts.</w:t>
            </w:r>
          </w:p>
          <w:p w:rsidR="00BB303D" w:rsidRDefault="00BB303D" w:rsidP="00BB303D">
            <w:pPr>
              <w:pStyle w:val="ListParagraph"/>
              <w:ind w:left="0"/>
              <w:rPr>
                <w:rFonts w:ascii="Garamond" w:hAnsi="Garamond" w:cstheme="minorHAnsi"/>
                <w:sz w:val="24"/>
                <w:szCs w:val="24"/>
              </w:rPr>
            </w:pPr>
          </w:p>
          <w:p w:rsidR="00BB303D" w:rsidRPr="00BB303D" w:rsidRDefault="002D6D05" w:rsidP="00BB303D">
            <w:pPr>
              <w:pStyle w:val="ListParagraph"/>
              <w:ind w:left="0"/>
              <w:rPr>
                <w:rFonts w:ascii="Garamond" w:hAnsi="Garamond" w:cstheme="minorHAnsi"/>
                <w:sz w:val="24"/>
                <w:szCs w:val="24"/>
              </w:rPr>
            </w:pPr>
            <w:r>
              <w:rPr>
                <w:rFonts w:ascii="Garamond" w:hAnsi="Garamond" w:cstheme="minorHAnsi"/>
                <w:sz w:val="24"/>
                <w:szCs w:val="24"/>
              </w:rPr>
              <w:lastRenderedPageBreak/>
              <w:t xml:space="preserve">The </w:t>
            </w:r>
            <w:r w:rsidR="00BB303D">
              <w:rPr>
                <w:rFonts w:ascii="Garamond" w:hAnsi="Garamond" w:cstheme="minorHAnsi"/>
                <w:sz w:val="24"/>
                <w:szCs w:val="24"/>
              </w:rPr>
              <w:t xml:space="preserve">Maine Clean Communities </w:t>
            </w:r>
            <w:r>
              <w:rPr>
                <w:rFonts w:ascii="Garamond" w:hAnsi="Garamond" w:cstheme="minorHAnsi"/>
                <w:sz w:val="24"/>
                <w:szCs w:val="24"/>
              </w:rPr>
              <w:t xml:space="preserve">Coalition </w:t>
            </w:r>
            <w:r w:rsidR="00BB303D">
              <w:rPr>
                <w:rFonts w:ascii="Garamond" w:hAnsi="Garamond" w:cstheme="minorHAnsi"/>
                <w:sz w:val="24"/>
                <w:szCs w:val="24"/>
              </w:rPr>
              <w:t xml:space="preserve">(MC2) joined the Partnership in March of 2014.  </w:t>
            </w:r>
            <w:r>
              <w:rPr>
                <w:rFonts w:ascii="Garamond" w:hAnsi="Garamond" w:cstheme="minorHAnsi"/>
                <w:sz w:val="24"/>
                <w:szCs w:val="24"/>
              </w:rPr>
              <w:t>MC2 is comprised of public and private sector fleet managers, state and local offic</w:t>
            </w:r>
            <w:r w:rsidR="00335E1C">
              <w:rPr>
                <w:rFonts w:ascii="Garamond" w:hAnsi="Garamond" w:cstheme="minorHAnsi"/>
                <w:sz w:val="24"/>
                <w:szCs w:val="24"/>
              </w:rPr>
              <w:t>i</w:t>
            </w:r>
            <w:r>
              <w:rPr>
                <w:rFonts w:ascii="Garamond" w:hAnsi="Garamond" w:cstheme="minorHAnsi"/>
                <w:sz w:val="24"/>
                <w:szCs w:val="24"/>
              </w:rPr>
              <w:t>als, clean fuel providers, and other groups and individuals interested in reducing petroleum use in the transportation sector by promoting fuel economy improvements, idle reduction measures and the use of clean alternative fuels such as propane, biodiesel, and compressed natural gas, as well as promoting clean fuel vehicle technologies.  MC2 is the representative of the energy sector to join the Partnership.</w:t>
            </w:r>
          </w:p>
          <w:p w:rsidR="00E50B85" w:rsidRPr="00EB6C3B" w:rsidRDefault="00E50B85" w:rsidP="009245AE">
            <w:pPr>
              <w:rPr>
                <w:rFonts w:ascii="Garamond" w:hAnsi="Garamond" w:cstheme="minorHAnsi"/>
                <w:b/>
                <w:sz w:val="24"/>
                <w:szCs w:val="24"/>
              </w:rPr>
            </w:pPr>
          </w:p>
          <w:p w:rsidR="009245AE" w:rsidRPr="00EB6C3B" w:rsidRDefault="009245AE" w:rsidP="009245AE">
            <w:pPr>
              <w:pStyle w:val="ListParagraph"/>
              <w:numPr>
                <w:ilvl w:val="0"/>
                <w:numId w:val="13"/>
              </w:numPr>
              <w:rPr>
                <w:rFonts w:ascii="Garamond" w:hAnsi="Garamond" w:cstheme="minorHAnsi"/>
                <w:b/>
                <w:sz w:val="24"/>
                <w:szCs w:val="24"/>
                <w:u w:val="single"/>
              </w:rPr>
            </w:pPr>
            <w:r w:rsidRPr="00EB6C3B">
              <w:rPr>
                <w:rFonts w:ascii="Garamond" w:hAnsi="Garamond" w:cstheme="minorHAnsi"/>
                <w:b/>
                <w:sz w:val="24"/>
                <w:szCs w:val="24"/>
                <w:u w:val="single"/>
              </w:rPr>
              <w:t>P</w:t>
            </w:r>
            <w:r w:rsidR="00EB6C3B">
              <w:rPr>
                <w:rFonts w:ascii="Garamond" w:hAnsi="Garamond" w:cstheme="minorHAnsi"/>
                <w:b/>
                <w:sz w:val="24"/>
                <w:szCs w:val="24"/>
                <w:u w:val="single"/>
              </w:rPr>
              <w:t>lease describe p</w:t>
            </w:r>
            <w:r w:rsidRPr="00EB6C3B">
              <w:rPr>
                <w:rFonts w:ascii="Garamond" w:hAnsi="Garamond" w:cstheme="minorHAnsi"/>
                <w:b/>
                <w:sz w:val="24"/>
                <w:szCs w:val="24"/>
                <w:u w:val="single"/>
              </w:rPr>
              <w:t xml:space="preserve">rogress with </w:t>
            </w:r>
            <w:r w:rsidR="00EB6C3B">
              <w:rPr>
                <w:rFonts w:ascii="Garamond" w:hAnsi="Garamond" w:cstheme="minorHAnsi"/>
                <w:b/>
                <w:sz w:val="24"/>
                <w:szCs w:val="24"/>
                <w:u w:val="single"/>
              </w:rPr>
              <w:t>o</w:t>
            </w:r>
            <w:r w:rsidRPr="00EB6C3B">
              <w:rPr>
                <w:rFonts w:ascii="Garamond" w:hAnsi="Garamond" w:cstheme="minorHAnsi"/>
                <w:b/>
                <w:sz w:val="24"/>
                <w:szCs w:val="24"/>
                <w:u w:val="single"/>
              </w:rPr>
              <w:t>utreach</w:t>
            </w:r>
            <w:r w:rsidR="00EB6C3B">
              <w:rPr>
                <w:rFonts w:ascii="Garamond" w:hAnsi="Garamond" w:cstheme="minorHAnsi"/>
                <w:b/>
                <w:sz w:val="24"/>
                <w:szCs w:val="24"/>
                <w:u w:val="single"/>
              </w:rPr>
              <w:t xml:space="preserve">, engagement, and decision-making </w:t>
            </w:r>
            <w:r w:rsidRPr="00EB6C3B">
              <w:rPr>
                <w:rFonts w:ascii="Garamond" w:hAnsi="Garamond" w:cstheme="minorHAnsi"/>
                <w:b/>
                <w:sz w:val="24"/>
                <w:szCs w:val="24"/>
                <w:u w:val="single"/>
              </w:rPr>
              <w:t xml:space="preserve"> </w:t>
            </w:r>
            <w:r w:rsidR="00EB6C3B">
              <w:rPr>
                <w:rFonts w:ascii="Garamond" w:hAnsi="Garamond" w:cstheme="minorHAnsi"/>
                <w:b/>
                <w:sz w:val="24"/>
                <w:szCs w:val="24"/>
                <w:u w:val="single"/>
              </w:rPr>
              <w:t>a</w:t>
            </w:r>
            <w:r w:rsidRPr="00EB6C3B">
              <w:rPr>
                <w:rFonts w:ascii="Garamond" w:hAnsi="Garamond" w:cstheme="minorHAnsi"/>
                <w:b/>
                <w:sz w:val="24"/>
                <w:szCs w:val="24"/>
                <w:u w:val="single"/>
              </w:rPr>
              <w:t xml:space="preserve">ctivities </w:t>
            </w:r>
            <w:r w:rsidR="00EB6C3B">
              <w:rPr>
                <w:rFonts w:ascii="Garamond" w:hAnsi="Garamond" w:cstheme="minorHAnsi"/>
                <w:b/>
                <w:sz w:val="24"/>
                <w:szCs w:val="24"/>
                <w:u w:val="single"/>
              </w:rPr>
              <w:t>t</w:t>
            </w:r>
            <w:r w:rsidRPr="00EB6C3B">
              <w:rPr>
                <w:rFonts w:ascii="Garamond" w:hAnsi="Garamond" w:cstheme="minorHAnsi"/>
                <w:b/>
                <w:sz w:val="24"/>
                <w:szCs w:val="24"/>
                <w:u w:val="single"/>
              </w:rPr>
              <w:t xml:space="preserve">argeting </w:t>
            </w:r>
            <w:r w:rsidR="00EB6C3B">
              <w:rPr>
                <w:rFonts w:ascii="Garamond" w:hAnsi="Garamond" w:cstheme="minorHAnsi"/>
                <w:b/>
                <w:sz w:val="24"/>
                <w:szCs w:val="24"/>
                <w:u w:val="single"/>
              </w:rPr>
              <w:t xml:space="preserve"> populations t</w:t>
            </w:r>
            <w:r w:rsidRPr="00EB6C3B">
              <w:rPr>
                <w:rFonts w:ascii="Garamond" w:hAnsi="Garamond" w:cstheme="minorHAnsi"/>
                <w:b/>
                <w:sz w:val="24"/>
                <w:szCs w:val="24"/>
                <w:u w:val="single"/>
              </w:rPr>
              <w:t xml:space="preserve">raditionally </w:t>
            </w:r>
            <w:r w:rsidR="00EB6C3B">
              <w:rPr>
                <w:rFonts w:ascii="Garamond" w:hAnsi="Garamond" w:cstheme="minorHAnsi"/>
                <w:b/>
                <w:sz w:val="24"/>
                <w:szCs w:val="24"/>
                <w:u w:val="single"/>
              </w:rPr>
              <w:t>m</w:t>
            </w:r>
            <w:r w:rsidRPr="00EB6C3B">
              <w:rPr>
                <w:rFonts w:ascii="Garamond" w:hAnsi="Garamond" w:cstheme="minorHAnsi"/>
                <w:b/>
                <w:sz w:val="24"/>
                <w:szCs w:val="24"/>
                <w:u w:val="single"/>
              </w:rPr>
              <w:t xml:space="preserve">arginalized </w:t>
            </w:r>
            <w:r w:rsidR="00EB6C3B">
              <w:rPr>
                <w:rFonts w:ascii="Garamond" w:hAnsi="Garamond" w:cstheme="minorHAnsi"/>
                <w:b/>
                <w:sz w:val="24"/>
                <w:szCs w:val="24"/>
                <w:u w:val="single"/>
              </w:rPr>
              <w:t>in the planning process</w:t>
            </w:r>
            <w:r w:rsidR="00E50B85" w:rsidRPr="00EB6C3B">
              <w:rPr>
                <w:rFonts w:ascii="Garamond" w:hAnsi="Garamond" w:cstheme="minorHAnsi"/>
                <w:b/>
                <w:sz w:val="24"/>
                <w:szCs w:val="24"/>
                <w:u w:val="single"/>
              </w:rPr>
              <w:t xml:space="preserve"> (include costs spent on these activities)</w:t>
            </w:r>
            <w:r w:rsidRPr="00EB6C3B">
              <w:rPr>
                <w:rFonts w:ascii="Garamond" w:hAnsi="Garamond" w:cstheme="minorHAnsi"/>
                <w:b/>
                <w:sz w:val="24"/>
                <w:szCs w:val="24"/>
                <w:u w:val="single"/>
              </w:rPr>
              <w:t>:</w:t>
            </w:r>
          </w:p>
          <w:p w:rsidR="00E50B85" w:rsidRPr="00EB6C3B" w:rsidRDefault="00E50B85" w:rsidP="00E50B85">
            <w:pPr>
              <w:rPr>
                <w:rFonts w:ascii="Garamond" w:hAnsi="Garamond" w:cstheme="minorHAnsi"/>
                <w:b/>
                <w:sz w:val="24"/>
                <w:szCs w:val="24"/>
              </w:rPr>
            </w:pPr>
          </w:p>
          <w:p w:rsidR="003D0C20" w:rsidRDefault="00CE58AE" w:rsidP="003D0C20">
            <w:pPr>
              <w:rPr>
                <w:rFonts w:ascii="Garamond" w:hAnsi="Garamond" w:cstheme="minorHAnsi"/>
                <w:sz w:val="24"/>
                <w:szCs w:val="24"/>
              </w:rPr>
            </w:pPr>
            <w:r>
              <w:rPr>
                <w:rFonts w:ascii="Garamond" w:hAnsi="Garamond" w:cstheme="minorHAnsi"/>
                <w:sz w:val="24"/>
                <w:szCs w:val="24"/>
              </w:rPr>
              <w:t xml:space="preserve">The Town of Freeport’s Porter’s Landing Neighborhood pilot project </w:t>
            </w:r>
            <w:r w:rsidR="00FD57AB">
              <w:rPr>
                <w:rFonts w:ascii="Garamond" w:hAnsi="Garamond" w:cstheme="minorHAnsi"/>
                <w:sz w:val="24"/>
                <w:szCs w:val="24"/>
              </w:rPr>
              <w:t xml:space="preserve">served a neighborhood experiencing gentrification.  Once home almost exclusively to working class fishing families, many of these families have been forced to move due to rising property taxes, and their modest homes replaced with new, larger homes for wealthier families.  Part of the pilot explored options for infill development permitting </w:t>
            </w:r>
            <w:r w:rsidR="009C216A">
              <w:rPr>
                <w:rFonts w:ascii="Garamond" w:hAnsi="Garamond" w:cstheme="minorHAnsi"/>
                <w:sz w:val="24"/>
                <w:szCs w:val="24"/>
              </w:rPr>
              <w:t>secondary suites and small lot divisions aimed at maintaining property affordability.  Every resident in the neighborhood was mailed letters of invitation for both the design charrette and public workshop.  Additionally, elected officials and planning board members representing the neighborhood were recruited to reach out to their constituents as well as attend the charrette and workshop.</w:t>
            </w:r>
          </w:p>
          <w:p w:rsidR="00983B2E" w:rsidRDefault="00983B2E" w:rsidP="003D0C20">
            <w:pPr>
              <w:rPr>
                <w:rFonts w:ascii="Garamond" w:hAnsi="Garamond" w:cstheme="minorHAnsi"/>
                <w:sz w:val="24"/>
                <w:szCs w:val="24"/>
              </w:rPr>
            </w:pPr>
          </w:p>
          <w:p w:rsidR="00983B2E" w:rsidRPr="00CE58AE" w:rsidRDefault="00983B2E" w:rsidP="003D0C20">
            <w:pPr>
              <w:rPr>
                <w:rFonts w:ascii="Garamond" w:hAnsi="Garamond" w:cstheme="minorHAnsi"/>
                <w:sz w:val="24"/>
                <w:szCs w:val="24"/>
              </w:rPr>
            </w:pPr>
            <w:r>
              <w:rPr>
                <w:rFonts w:ascii="Garamond" w:hAnsi="Garamond" w:cstheme="minorHAnsi"/>
                <w:sz w:val="24"/>
                <w:szCs w:val="24"/>
              </w:rPr>
              <w:t>Estimate cost: $200.00</w:t>
            </w:r>
          </w:p>
          <w:p w:rsidR="00E50B85" w:rsidRPr="00EB6C3B" w:rsidRDefault="00E50B85" w:rsidP="00E50B85">
            <w:pPr>
              <w:rPr>
                <w:rFonts w:ascii="Garamond" w:hAnsi="Garamond" w:cstheme="minorHAnsi"/>
                <w:b/>
                <w:sz w:val="24"/>
                <w:szCs w:val="24"/>
              </w:rPr>
            </w:pPr>
          </w:p>
          <w:p w:rsidR="009245AE" w:rsidRPr="00EB6C3B" w:rsidRDefault="009245AE" w:rsidP="009245AE">
            <w:pPr>
              <w:pStyle w:val="ListParagraph"/>
              <w:ind w:left="0"/>
              <w:rPr>
                <w:rFonts w:ascii="Garamond" w:hAnsi="Garamond" w:cstheme="minorHAnsi"/>
                <w:b/>
                <w:sz w:val="24"/>
                <w:szCs w:val="24"/>
                <w:u w:val="single"/>
              </w:rPr>
            </w:pPr>
          </w:p>
        </w:tc>
      </w:tr>
    </w:tbl>
    <w:p w:rsidR="009245AE" w:rsidRPr="00EB6C3B" w:rsidRDefault="009245AE" w:rsidP="009245AE">
      <w:pPr>
        <w:pStyle w:val="ListParagraph"/>
        <w:ind w:left="1080"/>
        <w:rPr>
          <w:rFonts w:ascii="Garamond" w:hAnsi="Garamond" w:cstheme="minorHAnsi"/>
          <w:b/>
          <w:sz w:val="24"/>
          <w:szCs w:val="24"/>
          <w:u w:val="single"/>
        </w:rPr>
      </w:pPr>
    </w:p>
    <w:p w:rsidR="00942B53"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CHALLENGES AND EFFORTS TO OVERCOME THEM:</w:t>
      </w:r>
    </w:p>
    <w:tbl>
      <w:tblPr>
        <w:tblStyle w:val="TableGrid"/>
        <w:tblW w:w="0" w:type="auto"/>
        <w:tblInd w:w="1098" w:type="dxa"/>
        <w:tblLook w:val="04A0" w:firstRow="1" w:lastRow="0" w:firstColumn="1" w:lastColumn="0" w:noHBand="0" w:noVBand="1"/>
      </w:tblPr>
      <w:tblGrid>
        <w:gridCol w:w="8478"/>
      </w:tblGrid>
      <w:tr w:rsidR="009245AE" w:rsidRPr="00EB6C3B" w:rsidTr="009245AE">
        <w:tc>
          <w:tcPr>
            <w:tcW w:w="8478" w:type="dxa"/>
          </w:tcPr>
          <w:p w:rsidR="009245AE" w:rsidRPr="00EB6C3B" w:rsidRDefault="009245AE" w:rsidP="009245AE">
            <w:pPr>
              <w:pStyle w:val="ListParagraph"/>
              <w:numPr>
                <w:ilvl w:val="0"/>
                <w:numId w:val="14"/>
              </w:numPr>
              <w:rPr>
                <w:rFonts w:ascii="Garamond" w:hAnsi="Garamond" w:cstheme="minorHAnsi"/>
                <w:b/>
                <w:sz w:val="24"/>
                <w:szCs w:val="24"/>
                <w:u w:val="single"/>
              </w:rPr>
            </w:pPr>
            <w:r w:rsidRPr="00EB6C3B">
              <w:rPr>
                <w:rFonts w:ascii="Garamond" w:hAnsi="Garamond" w:cstheme="minorHAnsi"/>
                <w:b/>
                <w:sz w:val="24"/>
                <w:szCs w:val="24"/>
                <w:u w:val="single"/>
              </w:rPr>
              <w:t>Scheduled Milestones/Targets that were not achieved:</w:t>
            </w:r>
          </w:p>
          <w:p w:rsidR="00964A4A" w:rsidRPr="00A97223" w:rsidRDefault="00964A4A" w:rsidP="00964A4A">
            <w:pPr>
              <w:pStyle w:val="ListParagraph"/>
              <w:ind w:left="0"/>
              <w:jc w:val="both"/>
              <w:rPr>
                <w:rFonts w:ascii="Garamond" w:hAnsi="Garamond" w:cstheme="minorHAnsi"/>
                <w:sz w:val="24"/>
                <w:szCs w:val="24"/>
              </w:rPr>
            </w:pPr>
            <w:r>
              <w:rPr>
                <w:rFonts w:ascii="Garamond" w:hAnsi="Garamond" w:cstheme="minorHAnsi"/>
                <w:sz w:val="24"/>
                <w:szCs w:val="24"/>
              </w:rPr>
              <w:t>Task 5.5.5 Local Product Delivery System: As previously reported, this task has proven challenging due to the lack of consensus and support from the agricultural community due to their own differing needs and priorities.</w:t>
            </w:r>
          </w:p>
          <w:p w:rsidR="00E50B85" w:rsidRPr="00EB6C3B" w:rsidRDefault="00E50B85" w:rsidP="009245AE">
            <w:pPr>
              <w:pStyle w:val="ListParagraph"/>
              <w:ind w:left="1080"/>
              <w:rPr>
                <w:rFonts w:ascii="Garamond" w:hAnsi="Garamond" w:cstheme="minorHAnsi"/>
                <w:b/>
                <w:sz w:val="24"/>
                <w:szCs w:val="24"/>
              </w:rPr>
            </w:pPr>
          </w:p>
          <w:p w:rsidR="009245AE" w:rsidRPr="00EB6C3B" w:rsidRDefault="009245AE" w:rsidP="009245AE">
            <w:pPr>
              <w:pStyle w:val="ListParagraph"/>
              <w:numPr>
                <w:ilvl w:val="0"/>
                <w:numId w:val="14"/>
              </w:numPr>
              <w:rPr>
                <w:rFonts w:ascii="Garamond" w:hAnsi="Garamond" w:cstheme="minorHAnsi"/>
                <w:b/>
                <w:sz w:val="24"/>
                <w:szCs w:val="24"/>
                <w:u w:val="single"/>
              </w:rPr>
            </w:pPr>
            <w:r w:rsidRPr="00EB6C3B">
              <w:rPr>
                <w:rFonts w:ascii="Garamond" w:hAnsi="Garamond" w:cstheme="minorHAnsi"/>
                <w:b/>
                <w:sz w:val="24"/>
                <w:szCs w:val="24"/>
                <w:u w:val="single"/>
              </w:rPr>
              <w:t>Management deficiencies:</w:t>
            </w:r>
          </w:p>
          <w:p w:rsidR="003D0C20" w:rsidRPr="00964A4A" w:rsidRDefault="00964A4A" w:rsidP="003D0C20">
            <w:pPr>
              <w:rPr>
                <w:rFonts w:ascii="Garamond" w:hAnsi="Garamond" w:cstheme="minorHAnsi"/>
                <w:sz w:val="24"/>
                <w:szCs w:val="24"/>
              </w:rPr>
            </w:pPr>
            <w:r w:rsidRPr="00964A4A">
              <w:rPr>
                <w:rFonts w:ascii="Garamond" w:hAnsi="Garamond" w:cstheme="minorHAnsi"/>
                <w:sz w:val="24"/>
                <w:szCs w:val="24"/>
              </w:rPr>
              <w:t>None</w:t>
            </w:r>
          </w:p>
          <w:p w:rsidR="00E50B85" w:rsidRPr="00EB6C3B" w:rsidRDefault="00E50B85" w:rsidP="009245AE">
            <w:pPr>
              <w:pStyle w:val="ListParagraph"/>
              <w:ind w:left="1080"/>
              <w:rPr>
                <w:rFonts w:ascii="Garamond" w:hAnsi="Garamond" w:cstheme="minorHAnsi"/>
                <w:b/>
                <w:sz w:val="24"/>
                <w:szCs w:val="24"/>
              </w:rPr>
            </w:pPr>
          </w:p>
          <w:p w:rsidR="009245AE" w:rsidRDefault="009245AE" w:rsidP="009245AE">
            <w:pPr>
              <w:pStyle w:val="ListParagraph"/>
              <w:numPr>
                <w:ilvl w:val="0"/>
                <w:numId w:val="14"/>
              </w:numPr>
              <w:rPr>
                <w:rFonts w:ascii="Garamond" w:hAnsi="Garamond" w:cstheme="minorHAnsi"/>
                <w:b/>
                <w:sz w:val="24"/>
                <w:szCs w:val="24"/>
                <w:u w:val="single"/>
              </w:rPr>
            </w:pPr>
            <w:r w:rsidRPr="00EB6C3B">
              <w:rPr>
                <w:rFonts w:ascii="Garamond" w:hAnsi="Garamond" w:cstheme="minorHAnsi"/>
                <w:b/>
                <w:sz w:val="24"/>
                <w:szCs w:val="24"/>
                <w:u w:val="single"/>
              </w:rPr>
              <w:t>Deviations from the Work Plan</w:t>
            </w:r>
          </w:p>
          <w:p w:rsidR="003D0C20" w:rsidRPr="00964A4A" w:rsidRDefault="00964A4A" w:rsidP="003D0C20">
            <w:pPr>
              <w:rPr>
                <w:rFonts w:ascii="Garamond" w:hAnsi="Garamond" w:cstheme="minorHAnsi"/>
                <w:sz w:val="24"/>
                <w:szCs w:val="24"/>
              </w:rPr>
            </w:pPr>
            <w:r w:rsidRPr="00964A4A">
              <w:rPr>
                <w:rFonts w:ascii="Garamond" w:hAnsi="Garamond" w:cstheme="minorHAnsi"/>
                <w:sz w:val="24"/>
                <w:szCs w:val="24"/>
              </w:rPr>
              <w:t>None</w:t>
            </w:r>
          </w:p>
          <w:p w:rsidR="00A729F6" w:rsidRDefault="00A729F6" w:rsidP="00A729F6">
            <w:pPr>
              <w:pStyle w:val="ListParagraph"/>
              <w:ind w:left="1080"/>
              <w:rPr>
                <w:rFonts w:ascii="Garamond" w:hAnsi="Garamond" w:cstheme="minorHAnsi"/>
                <w:b/>
                <w:sz w:val="24"/>
                <w:szCs w:val="24"/>
                <w:u w:val="single"/>
              </w:rPr>
            </w:pPr>
          </w:p>
          <w:p w:rsidR="00A729F6" w:rsidRPr="00EB6C3B" w:rsidRDefault="002B224D" w:rsidP="009245AE">
            <w:pPr>
              <w:pStyle w:val="ListParagraph"/>
              <w:numPr>
                <w:ilvl w:val="0"/>
                <w:numId w:val="14"/>
              </w:numPr>
              <w:rPr>
                <w:rFonts w:ascii="Garamond" w:hAnsi="Garamond" w:cstheme="minorHAnsi"/>
                <w:b/>
                <w:sz w:val="24"/>
                <w:szCs w:val="24"/>
                <w:u w:val="single"/>
              </w:rPr>
            </w:pPr>
            <w:r>
              <w:rPr>
                <w:rFonts w:ascii="Garamond" w:hAnsi="Garamond" w:cstheme="minorHAnsi"/>
                <w:b/>
                <w:sz w:val="24"/>
                <w:szCs w:val="24"/>
                <w:u w:val="single"/>
              </w:rPr>
              <w:t>D</w:t>
            </w:r>
            <w:r w:rsidR="00A729F6">
              <w:rPr>
                <w:rFonts w:ascii="Garamond" w:hAnsi="Garamond" w:cstheme="minorHAnsi"/>
                <w:b/>
                <w:sz w:val="24"/>
                <w:szCs w:val="24"/>
                <w:u w:val="single"/>
              </w:rPr>
              <w:t>etail  the actions you will take to address</w:t>
            </w:r>
            <w:r>
              <w:rPr>
                <w:rFonts w:ascii="Garamond" w:hAnsi="Garamond" w:cstheme="minorHAnsi"/>
                <w:b/>
                <w:sz w:val="24"/>
                <w:szCs w:val="24"/>
                <w:u w:val="single"/>
              </w:rPr>
              <w:t xml:space="preserve"> identified deficiencies or workplan deviations described above </w:t>
            </w:r>
            <w:r w:rsidR="00A729F6">
              <w:rPr>
                <w:rFonts w:ascii="Garamond" w:hAnsi="Garamond" w:cstheme="minorHAnsi"/>
                <w:b/>
                <w:sz w:val="24"/>
                <w:szCs w:val="24"/>
                <w:u w:val="single"/>
              </w:rPr>
              <w:t xml:space="preserve">(include what is to be done, who is responsible, and when it is due).  </w:t>
            </w:r>
          </w:p>
          <w:p w:rsidR="003D0C20" w:rsidRPr="00964A4A" w:rsidRDefault="00964A4A" w:rsidP="003D0C20">
            <w:pPr>
              <w:rPr>
                <w:rFonts w:ascii="Garamond" w:hAnsi="Garamond" w:cstheme="minorHAnsi"/>
                <w:sz w:val="24"/>
                <w:szCs w:val="24"/>
              </w:rPr>
            </w:pPr>
            <w:r w:rsidRPr="00964A4A">
              <w:rPr>
                <w:rFonts w:ascii="Garamond" w:hAnsi="Garamond" w:cstheme="minorHAnsi"/>
                <w:sz w:val="24"/>
                <w:szCs w:val="24"/>
              </w:rPr>
              <w:t>N/A</w:t>
            </w:r>
          </w:p>
          <w:p w:rsidR="00F908A3" w:rsidRPr="00EB6C3B" w:rsidRDefault="00F908A3" w:rsidP="009245AE">
            <w:pPr>
              <w:rPr>
                <w:rFonts w:ascii="Garamond" w:hAnsi="Garamond" w:cstheme="minorHAnsi"/>
                <w:b/>
                <w:sz w:val="24"/>
                <w:szCs w:val="24"/>
                <w:u w:val="single"/>
              </w:rPr>
            </w:pPr>
          </w:p>
        </w:tc>
      </w:tr>
    </w:tbl>
    <w:p w:rsidR="00E50B85" w:rsidRDefault="00E50B85" w:rsidP="00E50B85">
      <w:pPr>
        <w:pStyle w:val="ListParagraph"/>
        <w:ind w:left="1080"/>
        <w:rPr>
          <w:rFonts w:ascii="Garamond" w:hAnsi="Garamond" w:cstheme="minorHAnsi"/>
          <w:b/>
          <w:sz w:val="24"/>
          <w:szCs w:val="24"/>
          <w:u w:val="single"/>
        </w:rPr>
      </w:pPr>
    </w:p>
    <w:p w:rsidR="00B55BD5" w:rsidRPr="00EB6C3B" w:rsidRDefault="00B55BD5" w:rsidP="00E50B85">
      <w:pPr>
        <w:pStyle w:val="ListParagraph"/>
        <w:ind w:left="1080"/>
        <w:rPr>
          <w:rFonts w:ascii="Garamond" w:hAnsi="Garamond" w:cstheme="minorHAnsi"/>
          <w:b/>
          <w:sz w:val="24"/>
          <w:szCs w:val="24"/>
          <w:u w:val="single"/>
        </w:rPr>
      </w:pPr>
    </w:p>
    <w:p w:rsidR="00EB6C3B" w:rsidRPr="00EB6C3B" w:rsidRDefault="00EB6C3B"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ANALYSIS OF WORK TO DATE</w:t>
      </w:r>
    </w:p>
    <w:p w:rsidR="00EB6C3B" w:rsidRPr="00EB6C3B" w:rsidRDefault="00EB6C3B" w:rsidP="00EB6C3B">
      <w:pPr>
        <w:pStyle w:val="ListParagraph"/>
        <w:numPr>
          <w:ilvl w:val="1"/>
          <w:numId w:val="12"/>
        </w:numPr>
        <w:rPr>
          <w:rFonts w:ascii="Garamond" w:hAnsi="Garamond" w:cstheme="minorHAnsi"/>
          <w:b/>
          <w:sz w:val="24"/>
          <w:szCs w:val="24"/>
          <w:u w:val="single"/>
        </w:rPr>
      </w:pPr>
      <w:r w:rsidRPr="00EB6C3B">
        <w:rPr>
          <w:rFonts w:ascii="Garamond" w:eastAsia="Times New Roman" w:hAnsi="Garamond" w:cs="Times New Roman"/>
          <w:b/>
          <w:bCs/>
          <w:color w:val="000000"/>
          <w:sz w:val="24"/>
          <w:szCs w:val="24"/>
        </w:rPr>
        <w:t>What lessons are you learning as you move forward that will strengthen this process?</w:t>
      </w:r>
      <w:r w:rsidRPr="00EB6C3B">
        <w:rPr>
          <w:rFonts w:ascii="Garamond" w:eastAsia="Times New Roman" w:hAnsi="Garamond" w:cs="Times New Roman"/>
          <w:color w:val="000000"/>
          <w:sz w:val="24"/>
          <w:szCs w:val="24"/>
        </w:rPr>
        <w:t xml:space="preserve">  </w:t>
      </w:r>
      <w:r w:rsidRPr="00EB6C3B">
        <w:rPr>
          <w:rFonts w:ascii="Garamond" w:eastAsia="Times New Roman" w:hAnsi="Garamond" w:cs="Times New Roman"/>
          <w:i/>
          <w:color w:val="000000"/>
          <w:sz w:val="24"/>
          <w:szCs w:val="24"/>
        </w:rPr>
        <w:t>What assumptions about planning for sustainability are being confirmed and which are being challenged as you move forward? Can you apply these lesso</w:t>
      </w:r>
      <w:r>
        <w:rPr>
          <w:rFonts w:ascii="Garamond" w:eastAsia="Times New Roman" w:hAnsi="Garamond" w:cs="Times New Roman"/>
          <w:i/>
          <w:color w:val="000000"/>
          <w:sz w:val="24"/>
          <w:szCs w:val="24"/>
        </w:rPr>
        <w:t>ns into your work in real time?</w:t>
      </w:r>
    </w:p>
    <w:p w:rsidR="00DF3B27" w:rsidRDefault="00DF3B27" w:rsidP="001B1B7B">
      <w:pPr>
        <w:pStyle w:val="ListParagraph"/>
        <w:ind w:left="1080"/>
        <w:rPr>
          <w:rFonts w:ascii="Garamond" w:hAnsi="Garamond" w:cstheme="minorHAnsi"/>
          <w:b/>
          <w:sz w:val="24"/>
          <w:szCs w:val="24"/>
        </w:rPr>
      </w:pPr>
    </w:p>
    <w:p w:rsidR="001B1B7B" w:rsidRPr="001B1B7B" w:rsidRDefault="00E91709" w:rsidP="001B1B7B">
      <w:pPr>
        <w:pStyle w:val="ListParagraph"/>
        <w:ind w:left="1080"/>
        <w:rPr>
          <w:rFonts w:ascii="Garamond" w:hAnsi="Garamond" w:cstheme="minorHAnsi"/>
          <w:sz w:val="24"/>
          <w:szCs w:val="24"/>
          <w:u w:val="single"/>
        </w:rPr>
      </w:pPr>
      <w:r>
        <w:rPr>
          <w:rFonts w:ascii="Garamond" w:hAnsi="Garamond" w:cstheme="minorHAnsi"/>
          <w:sz w:val="24"/>
          <w:szCs w:val="24"/>
          <w:u w:val="single"/>
        </w:rPr>
        <w:t>Lessons Learned Related to</w:t>
      </w:r>
      <w:r w:rsidR="001B1B7B" w:rsidRPr="001B1B7B">
        <w:rPr>
          <w:rFonts w:ascii="Garamond" w:hAnsi="Garamond" w:cstheme="minorHAnsi"/>
          <w:sz w:val="24"/>
          <w:szCs w:val="24"/>
          <w:u w:val="single"/>
        </w:rPr>
        <w:t xml:space="preserve"> Process</w:t>
      </w:r>
    </w:p>
    <w:p w:rsidR="001B1B7B" w:rsidRDefault="001B1B7B" w:rsidP="001B1B7B">
      <w:pPr>
        <w:pStyle w:val="ListParagraph"/>
        <w:ind w:left="1080"/>
        <w:rPr>
          <w:rFonts w:ascii="Garamond" w:hAnsi="Garamond"/>
          <w:sz w:val="24"/>
          <w:szCs w:val="24"/>
        </w:rPr>
      </w:pPr>
      <w:r w:rsidRPr="001B1B7B">
        <w:rPr>
          <w:rFonts w:ascii="Garamond" w:hAnsi="Garamond"/>
          <w:sz w:val="24"/>
          <w:szCs w:val="24"/>
        </w:rPr>
        <w:t>Partnership</w:t>
      </w:r>
      <w:r w:rsidRPr="001B1B7B">
        <w:rPr>
          <w:rFonts w:ascii="Garamond" w:hAnsi="Garamond"/>
          <w:sz w:val="24"/>
          <w:szCs w:val="24"/>
        </w:rPr>
        <w:t>: Partnership</w:t>
      </w:r>
      <w:r w:rsidRPr="001B1B7B">
        <w:rPr>
          <w:rFonts w:ascii="Garamond" w:hAnsi="Garamond"/>
          <w:sz w:val="24"/>
          <w:szCs w:val="24"/>
        </w:rPr>
        <w:t xml:space="preserve"> will be key.  It offers a way out of our silos, bringing different viewpoints to any discussion that can provide new perspective on how to address a given issue.  It expands our networks and thus support for initiatives; and new opportunities for leveraging resources.</w:t>
      </w:r>
    </w:p>
    <w:p w:rsidR="001B1B7B" w:rsidRDefault="001B1B7B" w:rsidP="001B1B7B">
      <w:pPr>
        <w:pStyle w:val="ListParagraph"/>
        <w:ind w:left="1080"/>
        <w:rPr>
          <w:rFonts w:ascii="Garamond" w:hAnsi="Garamond"/>
          <w:sz w:val="24"/>
          <w:szCs w:val="24"/>
        </w:rPr>
      </w:pPr>
    </w:p>
    <w:p w:rsidR="00E91709" w:rsidRPr="004518C8" w:rsidRDefault="001B1B7B" w:rsidP="004518C8">
      <w:pPr>
        <w:pStyle w:val="ListParagraph"/>
        <w:ind w:left="1080"/>
        <w:rPr>
          <w:rFonts w:ascii="Garamond" w:hAnsi="Garamond"/>
          <w:sz w:val="24"/>
          <w:szCs w:val="24"/>
        </w:rPr>
      </w:pPr>
      <w:r>
        <w:rPr>
          <w:rFonts w:ascii="Garamond" w:hAnsi="Garamond" w:cstheme="minorHAnsi"/>
          <w:sz w:val="24"/>
          <w:szCs w:val="24"/>
        </w:rPr>
        <w:t xml:space="preserve">Leadership: However, </w:t>
      </w:r>
      <w:r w:rsidRPr="001B1B7B">
        <w:rPr>
          <w:rFonts w:ascii="Garamond" w:hAnsi="Garamond"/>
          <w:sz w:val="24"/>
          <w:szCs w:val="24"/>
        </w:rPr>
        <w:t>partnership alone will not get us there.  Leadership within the partners and by decision makers will also be necessary.</w:t>
      </w:r>
      <w:r>
        <w:rPr>
          <w:rFonts w:ascii="Garamond" w:hAnsi="Garamond"/>
          <w:sz w:val="24"/>
          <w:szCs w:val="24"/>
        </w:rPr>
        <w:t xml:space="preserve">  </w:t>
      </w:r>
      <w:r w:rsidRPr="001B1B7B">
        <w:rPr>
          <w:rFonts w:ascii="Garamond" w:hAnsi="Garamond"/>
          <w:sz w:val="24"/>
          <w:szCs w:val="24"/>
        </w:rPr>
        <w:t>The ability to change and a</w:t>
      </w:r>
      <w:r w:rsidR="00F5040C">
        <w:rPr>
          <w:rFonts w:ascii="Garamond" w:hAnsi="Garamond"/>
          <w:sz w:val="24"/>
          <w:szCs w:val="24"/>
        </w:rPr>
        <w:t>ccept change will</w:t>
      </w:r>
      <w:r w:rsidRPr="001B1B7B">
        <w:rPr>
          <w:rFonts w:ascii="Garamond" w:hAnsi="Garamond"/>
          <w:sz w:val="24"/>
          <w:szCs w:val="24"/>
        </w:rPr>
        <w:t xml:space="preserve"> be critical.  As a region we cannot continue to do the same thing and expec</w:t>
      </w:r>
      <w:r w:rsidR="00F5040C">
        <w:rPr>
          <w:rFonts w:ascii="Garamond" w:hAnsi="Garamond"/>
          <w:sz w:val="24"/>
          <w:szCs w:val="24"/>
        </w:rPr>
        <w:t>t different results.  The region’s leaders must</w:t>
      </w:r>
      <w:r w:rsidRPr="001B1B7B">
        <w:rPr>
          <w:rFonts w:ascii="Garamond" w:hAnsi="Garamond"/>
          <w:sz w:val="24"/>
          <w:szCs w:val="24"/>
        </w:rPr>
        <w:t xml:space="preserve"> be willing to lead by example – change needs to start with our own leading institutions.</w:t>
      </w:r>
    </w:p>
    <w:p w:rsidR="00E91709" w:rsidRPr="00E91709" w:rsidRDefault="00E91709" w:rsidP="00E91709">
      <w:pPr>
        <w:spacing w:after="0" w:line="240" w:lineRule="auto"/>
        <w:ind w:left="1080"/>
        <w:jc w:val="both"/>
        <w:rPr>
          <w:rFonts w:ascii="Garamond" w:hAnsi="Garamond"/>
          <w:sz w:val="24"/>
          <w:szCs w:val="24"/>
        </w:rPr>
      </w:pPr>
      <w:r w:rsidRPr="00E91709">
        <w:rPr>
          <w:rFonts w:ascii="Garamond" w:hAnsi="Garamond"/>
          <w:sz w:val="24"/>
          <w:szCs w:val="24"/>
        </w:rPr>
        <w:t xml:space="preserve">Leveraging: </w:t>
      </w:r>
      <w:r w:rsidRPr="00E91709">
        <w:rPr>
          <w:rFonts w:ascii="Garamond" w:hAnsi="Garamond"/>
          <w:sz w:val="24"/>
          <w:szCs w:val="24"/>
        </w:rPr>
        <w:t>We will need to think differently about how we fund infrastructure; creatively leveraging local resources and philanthropic entities.</w:t>
      </w:r>
    </w:p>
    <w:p w:rsidR="00E91709" w:rsidRDefault="00E91709" w:rsidP="001B1B7B">
      <w:pPr>
        <w:pStyle w:val="ListParagraph"/>
        <w:ind w:left="1080"/>
        <w:rPr>
          <w:rFonts w:ascii="Garamond" w:hAnsi="Garamond" w:cstheme="minorHAnsi"/>
          <w:sz w:val="24"/>
          <w:szCs w:val="24"/>
        </w:rPr>
      </w:pPr>
    </w:p>
    <w:p w:rsidR="00E91709" w:rsidRDefault="00E91709" w:rsidP="001B1B7B">
      <w:pPr>
        <w:pStyle w:val="ListParagraph"/>
        <w:ind w:left="1080"/>
        <w:rPr>
          <w:rFonts w:ascii="Garamond" w:hAnsi="Garamond" w:cstheme="minorHAnsi"/>
          <w:sz w:val="24"/>
          <w:szCs w:val="24"/>
        </w:rPr>
      </w:pPr>
      <w:r>
        <w:rPr>
          <w:rFonts w:ascii="Garamond" w:hAnsi="Garamond" w:cstheme="minorHAnsi"/>
          <w:sz w:val="24"/>
          <w:szCs w:val="24"/>
          <w:u w:val="single"/>
        </w:rPr>
        <w:t>Lessons Learned Related to Priority Setting</w:t>
      </w:r>
    </w:p>
    <w:p w:rsidR="00E91709" w:rsidRPr="00E91709" w:rsidRDefault="00E91709" w:rsidP="00E91709">
      <w:pPr>
        <w:pStyle w:val="ListParagraph"/>
        <w:ind w:left="1080"/>
        <w:jc w:val="both"/>
        <w:rPr>
          <w:rFonts w:ascii="Garamond" w:hAnsi="Garamond"/>
          <w:sz w:val="24"/>
          <w:szCs w:val="24"/>
        </w:rPr>
      </w:pPr>
      <w:r w:rsidRPr="00E91709">
        <w:rPr>
          <w:rFonts w:ascii="Garamond" w:hAnsi="Garamond"/>
          <w:sz w:val="24"/>
          <w:szCs w:val="24"/>
        </w:rPr>
        <w:t>Many of the lessons learned pertaining to the setting of priorities are not individually new revelations.  However, if our goal is to succeed in achieving regional prosperity, then they are inextricable from one another.  This is a package deal.  These all influence and impact each other, and succeeding at one or two will not get us where we desire to be.</w:t>
      </w:r>
    </w:p>
    <w:p w:rsidR="00E91709" w:rsidRPr="00E91709" w:rsidRDefault="00E91709" w:rsidP="00E91709">
      <w:pPr>
        <w:pStyle w:val="ListParagraph"/>
        <w:ind w:left="1080"/>
        <w:jc w:val="both"/>
        <w:rPr>
          <w:rFonts w:ascii="Garamond" w:hAnsi="Garamond"/>
          <w:b/>
          <w:color w:val="548DD4" w:themeColor="text2" w:themeTint="99"/>
          <w:sz w:val="24"/>
          <w:szCs w:val="24"/>
        </w:rPr>
      </w:pPr>
    </w:p>
    <w:p w:rsidR="00E91709" w:rsidRPr="00E91709" w:rsidRDefault="00E91709" w:rsidP="00E91709">
      <w:pPr>
        <w:pStyle w:val="ListParagraph"/>
        <w:ind w:left="1080"/>
        <w:jc w:val="both"/>
        <w:rPr>
          <w:rFonts w:ascii="Garamond" w:hAnsi="Garamond"/>
          <w:color w:val="548DD4" w:themeColor="text2" w:themeTint="99"/>
          <w:sz w:val="24"/>
          <w:szCs w:val="24"/>
        </w:rPr>
      </w:pPr>
      <w:r w:rsidRPr="00E91709">
        <w:rPr>
          <w:rFonts w:ascii="Garamond" w:hAnsi="Garamond"/>
          <w:sz w:val="24"/>
          <w:szCs w:val="24"/>
          <w:u w:val="single"/>
        </w:rPr>
        <w:t>Diversity</w:t>
      </w:r>
      <w:r>
        <w:rPr>
          <w:rFonts w:ascii="Garamond" w:hAnsi="Garamond"/>
          <w:sz w:val="24"/>
          <w:szCs w:val="24"/>
        </w:rPr>
        <w:t xml:space="preserve">: </w:t>
      </w:r>
      <w:r w:rsidRPr="00E91709">
        <w:rPr>
          <w:rFonts w:ascii="Garamond" w:hAnsi="Garamond"/>
          <w:sz w:val="24"/>
          <w:szCs w:val="24"/>
        </w:rPr>
        <w:t xml:space="preserve">Southern Maine must embrace its growing diversity.  </w:t>
      </w:r>
      <w:r w:rsidRPr="00E91709">
        <w:rPr>
          <w:rFonts w:ascii="Garamond" w:hAnsi="Garamond" w:cstheme="minorHAnsi"/>
          <w:sz w:val="24"/>
          <w:szCs w:val="24"/>
        </w:rPr>
        <w:t>New Mainers, refugees and immigrants, offer a unique opportunity to bolster the local economy, as well as fill the demographic hole left in our workforce by retiring seniors.</w:t>
      </w:r>
      <w:r w:rsidRPr="00E91709">
        <w:rPr>
          <w:rFonts w:ascii="Garamond" w:hAnsi="Garamond"/>
          <w:sz w:val="24"/>
          <w:szCs w:val="24"/>
        </w:rPr>
        <w:t xml:space="preserve">  With the right vocational supports, New Mainers are well situated to aid in filling this hole.  They receive college degrees in higher proportions to native born Mainers, 30% versus 27%, and many arrive having already obtained their education and professional skills.  Helping these new members of our communities realize their full potential will require tailored services, engagement of the business community, and a willingness to accept and embrace new cultural traditions.  </w:t>
      </w:r>
    </w:p>
    <w:p w:rsidR="00E91709" w:rsidRPr="00E91709" w:rsidRDefault="00E91709" w:rsidP="00E91709">
      <w:pPr>
        <w:pStyle w:val="ListParagraph"/>
        <w:ind w:left="1080"/>
        <w:jc w:val="both"/>
        <w:rPr>
          <w:rFonts w:ascii="Garamond" w:hAnsi="Garamond" w:cstheme="minorHAnsi"/>
          <w:sz w:val="24"/>
          <w:szCs w:val="24"/>
        </w:rPr>
      </w:pPr>
    </w:p>
    <w:p w:rsidR="00E91709" w:rsidRPr="00E91709" w:rsidRDefault="00E91709" w:rsidP="00E91709">
      <w:pPr>
        <w:pStyle w:val="ListParagraph"/>
        <w:ind w:left="1080"/>
        <w:jc w:val="both"/>
        <w:rPr>
          <w:rFonts w:ascii="Garamond" w:hAnsi="Garamond" w:cstheme="minorHAnsi"/>
          <w:color w:val="548DD4" w:themeColor="text2" w:themeTint="99"/>
          <w:sz w:val="24"/>
          <w:szCs w:val="24"/>
        </w:rPr>
      </w:pPr>
      <w:r w:rsidRPr="00E91709">
        <w:rPr>
          <w:rFonts w:ascii="Garamond" w:hAnsi="Garamond" w:cstheme="minorHAnsi"/>
          <w:sz w:val="24"/>
          <w:szCs w:val="24"/>
          <w:u w:val="single"/>
        </w:rPr>
        <w:t>Density</w:t>
      </w:r>
      <w:r>
        <w:rPr>
          <w:rFonts w:ascii="Garamond" w:hAnsi="Garamond" w:cstheme="minorHAnsi"/>
          <w:sz w:val="24"/>
          <w:szCs w:val="24"/>
        </w:rPr>
        <w:t xml:space="preserve">: </w:t>
      </w:r>
      <w:r w:rsidRPr="00E91709">
        <w:rPr>
          <w:rFonts w:ascii="Garamond" w:hAnsi="Garamond" w:cstheme="minorHAnsi"/>
          <w:sz w:val="24"/>
          <w:szCs w:val="24"/>
        </w:rPr>
        <w:t xml:space="preserve">It has long been assumed that our communities and their citizens regard density as a negative concept.  The Centers of Opportunity pilot projects prove this to be wrong and underscored that citizens find increases in density amenable when: </w:t>
      </w:r>
    </w:p>
    <w:p w:rsidR="00E91709" w:rsidRPr="00E91709" w:rsidRDefault="00E91709" w:rsidP="00E91709">
      <w:pPr>
        <w:pStyle w:val="ListParagraph"/>
        <w:numPr>
          <w:ilvl w:val="0"/>
          <w:numId w:val="15"/>
        </w:numPr>
        <w:ind w:left="1800"/>
        <w:jc w:val="both"/>
        <w:rPr>
          <w:rFonts w:ascii="Garamond" w:hAnsi="Garamond" w:cstheme="minorHAnsi"/>
          <w:sz w:val="24"/>
          <w:szCs w:val="24"/>
        </w:rPr>
      </w:pPr>
      <w:r w:rsidRPr="00E91709">
        <w:rPr>
          <w:rFonts w:ascii="Garamond" w:hAnsi="Garamond" w:cstheme="minorHAnsi"/>
          <w:sz w:val="24"/>
          <w:szCs w:val="24"/>
        </w:rPr>
        <w:lastRenderedPageBreak/>
        <w:t>Discussions regarding future growth and development include those citizens and businesses most impacted;</w:t>
      </w:r>
    </w:p>
    <w:p w:rsidR="00E91709" w:rsidRPr="00E91709" w:rsidRDefault="00E91709" w:rsidP="00E91709">
      <w:pPr>
        <w:pStyle w:val="ListParagraph"/>
        <w:numPr>
          <w:ilvl w:val="0"/>
          <w:numId w:val="15"/>
        </w:numPr>
        <w:ind w:left="1800"/>
        <w:jc w:val="both"/>
        <w:rPr>
          <w:rFonts w:ascii="Garamond" w:hAnsi="Garamond" w:cstheme="minorHAnsi"/>
          <w:sz w:val="24"/>
          <w:szCs w:val="24"/>
        </w:rPr>
      </w:pPr>
      <w:r w:rsidRPr="00E91709">
        <w:rPr>
          <w:rFonts w:ascii="Garamond" w:hAnsi="Garamond" w:cstheme="minorHAnsi"/>
          <w:sz w:val="24"/>
          <w:szCs w:val="24"/>
        </w:rPr>
        <w:t>Decision making and processes regarding growth and development is transparent;</w:t>
      </w:r>
    </w:p>
    <w:p w:rsidR="00E91709" w:rsidRPr="00E91709" w:rsidRDefault="00E91709" w:rsidP="00E91709">
      <w:pPr>
        <w:pStyle w:val="ListParagraph"/>
        <w:numPr>
          <w:ilvl w:val="0"/>
          <w:numId w:val="15"/>
        </w:numPr>
        <w:ind w:left="1800"/>
        <w:jc w:val="both"/>
        <w:rPr>
          <w:rFonts w:ascii="Garamond" w:hAnsi="Garamond" w:cstheme="minorHAnsi"/>
          <w:sz w:val="24"/>
          <w:szCs w:val="24"/>
        </w:rPr>
      </w:pPr>
      <w:r w:rsidRPr="00E91709">
        <w:rPr>
          <w:rFonts w:ascii="Garamond" w:hAnsi="Garamond" w:cstheme="minorHAnsi"/>
          <w:sz w:val="24"/>
          <w:szCs w:val="24"/>
        </w:rPr>
        <w:t>Increases in density are incremental; and</w:t>
      </w:r>
    </w:p>
    <w:p w:rsidR="00E91709" w:rsidRPr="00E91709" w:rsidRDefault="00E91709" w:rsidP="00E91709">
      <w:pPr>
        <w:pStyle w:val="ListParagraph"/>
        <w:numPr>
          <w:ilvl w:val="0"/>
          <w:numId w:val="15"/>
        </w:numPr>
        <w:ind w:left="1800"/>
        <w:jc w:val="both"/>
        <w:rPr>
          <w:rFonts w:ascii="Garamond" w:hAnsi="Garamond" w:cstheme="minorHAnsi"/>
          <w:sz w:val="24"/>
          <w:szCs w:val="24"/>
        </w:rPr>
      </w:pPr>
      <w:r w:rsidRPr="00E91709">
        <w:rPr>
          <w:rFonts w:ascii="Garamond" w:hAnsi="Garamond" w:cstheme="minorHAnsi"/>
          <w:sz w:val="24"/>
          <w:szCs w:val="24"/>
        </w:rPr>
        <w:t xml:space="preserve">Locally referenced graphics are provided so people can see what change might look like.  </w:t>
      </w:r>
    </w:p>
    <w:p w:rsidR="00E91709" w:rsidRPr="00E91709" w:rsidRDefault="00E91709" w:rsidP="00E91709">
      <w:pPr>
        <w:ind w:left="1080"/>
        <w:jc w:val="both"/>
        <w:rPr>
          <w:rFonts w:ascii="Garamond" w:hAnsi="Garamond" w:cstheme="minorHAnsi"/>
          <w:sz w:val="24"/>
          <w:szCs w:val="24"/>
        </w:rPr>
      </w:pPr>
      <w:r w:rsidRPr="00E91709">
        <w:rPr>
          <w:rFonts w:ascii="Garamond" w:hAnsi="Garamond" w:cstheme="minorHAnsi"/>
          <w:sz w:val="24"/>
          <w:szCs w:val="24"/>
        </w:rPr>
        <w:t>Choosing to focus discussions of growth, development, and increases in density on existing centers revealed ample room for both residential and commercial growth within these places; the ability to design for privacy, open space, mobility, and other amenities associated with lower density development; and if addressed properly the ability for these places to relieve development pressure on surrounding rural and natural landscapes.</w:t>
      </w:r>
    </w:p>
    <w:p w:rsidR="00E91709" w:rsidRPr="00E91709" w:rsidRDefault="00E91709" w:rsidP="00E91709">
      <w:pPr>
        <w:pStyle w:val="ListParagraph"/>
        <w:ind w:left="1080"/>
        <w:jc w:val="both"/>
        <w:rPr>
          <w:rFonts w:ascii="Garamond" w:hAnsi="Garamond" w:cstheme="minorHAnsi"/>
          <w:sz w:val="24"/>
          <w:szCs w:val="24"/>
        </w:rPr>
      </w:pPr>
      <w:r w:rsidRPr="004518C8">
        <w:rPr>
          <w:rFonts w:ascii="Garamond" w:hAnsi="Garamond" w:cstheme="minorHAnsi"/>
          <w:sz w:val="24"/>
          <w:szCs w:val="24"/>
          <w:u w:val="single"/>
        </w:rPr>
        <w:t>Housing</w:t>
      </w:r>
      <w:r w:rsidRPr="004518C8">
        <w:rPr>
          <w:rFonts w:ascii="Garamond" w:hAnsi="Garamond" w:cstheme="minorHAnsi"/>
          <w:sz w:val="24"/>
          <w:szCs w:val="24"/>
        </w:rPr>
        <w:t>:</w:t>
      </w:r>
      <w:r>
        <w:rPr>
          <w:rFonts w:ascii="Garamond" w:hAnsi="Garamond" w:cstheme="minorHAnsi"/>
          <w:sz w:val="24"/>
          <w:szCs w:val="24"/>
        </w:rPr>
        <w:t xml:space="preserve"> </w:t>
      </w:r>
      <w:r w:rsidRPr="00E91709">
        <w:rPr>
          <w:rFonts w:ascii="Garamond" w:hAnsi="Garamond" w:cstheme="minorHAnsi"/>
          <w:sz w:val="24"/>
          <w:szCs w:val="24"/>
        </w:rPr>
        <w:t xml:space="preserve">The </w:t>
      </w:r>
      <w:r w:rsidRPr="00E91709">
        <w:rPr>
          <w:rFonts w:ascii="Garamond" w:hAnsi="Garamond" w:cstheme="minorHAnsi"/>
          <w:i/>
          <w:sz w:val="24"/>
          <w:szCs w:val="24"/>
        </w:rPr>
        <w:t xml:space="preserve">Population and Housing Market </w:t>
      </w:r>
      <w:r w:rsidRPr="00E91709">
        <w:rPr>
          <w:rFonts w:ascii="Garamond" w:hAnsi="Garamond" w:cstheme="minorHAnsi"/>
          <w:sz w:val="24"/>
          <w:szCs w:val="24"/>
        </w:rPr>
        <w:t xml:space="preserve">Analysis revealed the region’s younger population, those under 34 years of age, is burdened by a high cost of housing (including rents) relative to incomes. This is further compounded by limited rental options in the region’s centers where the ability to live car-free would reduce the overall cost of living.  These obstacles add to the list of challenges in attracting young, educated, and talented workers.  </w:t>
      </w:r>
    </w:p>
    <w:p w:rsidR="00E91709" w:rsidRPr="00E91709" w:rsidRDefault="00E91709" w:rsidP="00E91709">
      <w:pPr>
        <w:pStyle w:val="ListParagraph"/>
        <w:ind w:left="1080"/>
        <w:jc w:val="both"/>
        <w:rPr>
          <w:rFonts w:ascii="Garamond" w:hAnsi="Garamond" w:cstheme="minorHAnsi"/>
          <w:sz w:val="24"/>
          <w:szCs w:val="24"/>
        </w:rPr>
      </w:pPr>
    </w:p>
    <w:p w:rsidR="00E91709" w:rsidRPr="00E91709" w:rsidRDefault="00E91709" w:rsidP="00E91709">
      <w:pPr>
        <w:pStyle w:val="ListParagraph"/>
        <w:ind w:left="1080"/>
        <w:jc w:val="both"/>
        <w:rPr>
          <w:rFonts w:ascii="Garamond" w:hAnsi="Garamond" w:cstheme="minorHAnsi"/>
          <w:sz w:val="24"/>
          <w:szCs w:val="24"/>
        </w:rPr>
      </w:pPr>
      <w:r w:rsidRPr="00E91709">
        <w:rPr>
          <w:rFonts w:ascii="Garamond" w:hAnsi="Garamond" w:cstheme="minorHAnsi"/>
          <w:sz w:val="24"/>
          <w:szCs w:val="24"/>
        </w:rPr>
        <w:t>At the other end of the age spectrum, our seniors are also in growing need of smaller, affordable dwelling units with greater accessibility and access to services.  Many of these seniors will need low and moderate income housing as well as other subsidies.</w:t>
      </w:r>
    </w:p>
    <w:p w:rsidR="00E91709" w:rsidRPr="00E91709" w:rsidRDefault="00E91709" w:rsidP="00E91709">
      <w:pPr>
        <w:pStyle w:val="ListParagraph"/>
        <w:ind w:left="1080"/>
        <w:jc w:val="both"/>
        <w:rPr>
          <w:rFonts w:ascii="Garamond" w:hAnsi="Garamond" w:cstheme="minorHAnsi"/>
          <w:sz w:val="24"/>
          <w:szCs w:val="24"/>
        </w:rPr>
      </w:pPr>
    </w:p>
    <w:p w:rsidR="00E91709" w:rsidRPr="00E91709" w:rsidRDefault="00E91709" w:rsidP="00E91709">
      <w:pPr>
        <w:pStyle w:val="ListParagraph"/>
        <w:ind w:left="1080"/>
        <w:jc w:val="both"/>
        <w:rPr>
          <w:rFonts w:ascii="Garamond" w:hAnsi="Garamond" w:cstheme="minorHAnsi"/>
          <w:sz w:val="24"/>
          <w:szCs w:val="24"/>
        </w:rPr>
      </w:pPr>
      <w:r w:rsidRPr="00E91709">
        <w:rPr>
          <w:rFonts w:ascii="Garamond" w:hAnsi="Garamond" w:cstheme="minorHAnsi"/>
          <w:sz w:val="24"/>
          <w:szCs w:val="24"/>
        </w:rPr>
        <w:t>Much of the existing housing stock located in centers is old and energy inefficient.  The high cost of upgrades limits owners’ ability and willingness to make necessary improvements – further reducing their affordability.</w:t>
      </w:r>
    </w:p>
    <w:p w:rsidR="00E91709" w:rsidRPr="00E91709" w:rsidRDefault="00E91709" w:rsidP="00E91709">
      <w:pPr>
        <w:pStyle w:val="ListParagraph"/>
        <w:ind w:left="1080"/>
        <w:jc w:val="both"/>
        <w:rPr>
          <w:rFonts w:ascii="Garamond" w:hAnsi="Garamond" w:cstheme="minorHAnsi"/>
          <w:sz w:val="24"/>
          <w:szCs w:val="24"/>
        </w:rPr>
      </w:pPr>
    </w:p>
    <w:p w:rsidR="00E91709" w:rsidRPr="00E91709" w:rsidRDefault="00E91709" w:rsidP="00E91709">
      <w:pPr>
        <w:pStyle w:val="ListParagraph"/>
        <w:ind w:left="1080"/>
        <w:jc w:val="both"/>
        <w:rPr>
          <w:rFonts w:ascii="Garamond" w:hAnsi="Garamond" w:cstheme="minorHAnsi"/>
          <w:sz w:val="24"/>
          <w:szCs w:val="24"/>
        </w:rPr>
      </w:pPr>
      <w:r w:rsidRPr="00E91709">
        <w:rPr>
          <w:rFonts w:ascii="Garamond" w:hAnsi="Garamond" w:cstheme="minorHAnsi"/>
          <w:sz w:val="24"/>
          <w:szCs w:val="24"/>
        </w:rPr>
        <w:t>These issues of housing affordability are stressing an already strapped middle class.  This in turn leads to negative perceptions and animosity regarding development of subsidized housing for low and moderate income families.  The term “affordable housing” itself poses a challenge, as middle and working class families are also looking for what is defined as affordable – reasonably priced – housing.  H+T Affordability Index, measuring combined housing and transportation costs, highlights the severity of the situation showing the vast majority of the region to be unaffordable – where the combined cost of housing and transportation exceeds 45% of the median income.  Additionally, the index shows that more than 70% of Southern Maine’s residents spend over 50% of their income on housing and transportation costs.</w:t>
      </w:r>
    </w:p>
    <w:p w:rsidR="00E91709" w:rsidRPr="00E91709" w:rsidRDefault="00E91709" w:rsidP="00E91709">
      <w:pPr>
        <w:spacing w:after="0" w:line="240" w:lineRule="auto"/>
        <w:ind w:left="1080"/>
        <w:jc w:val="both"/>
        <w:rPr>
          <w:rFonts w:ascii="Garamond" w:hAnsi="Garamond"/>
          <w:sz w:val="24"/>
          <w:szCs w:val="24"/>
          <w:u w:val="single"/>
        </w:rPr>
      </w:pPr>
      <w:r w:rsidRPr="00E91709">
        <w:rPr>
          <w:rFonts w:ascii="Garamond" w:hAnsi="Garamond"/>
          <w:sz w:val="24"/>
          <w:szCs w:val="24"/>
          <w:u w:val="single"/>
        </w:rPr>
        <w:lastRenderedPageBreak/>
        <w:t>Infrastructure</w:t>
      </w:r>
      <w:r>
        <w:rPr>
          <w:rFonts w:ascii="Garamond" w:hAnsi="Garamond"/>
          <w:sz w:val="24"/>
          <w:szCs w:val="24"/>
          <w:u w:val="single"/>
        </w:rPr>
        <w:t xml:space="preserve">: </w:t>
      </w:r>
      <w:r w:rsidRPr="00E91709">
        <w:rPr>
          <w:rFonts w:ascii="Garamond" w:hAnsi="Garamond"/>
          <w:sz w:val="24"/>
          <w:szCs w:val="24"/>
        </w:rPr>
        <w:t>To develop the mixed use, walkable communities that include housing for all income levels, employment and education opportunities, goods and services, and access to natural environments</w:t>
      </w:r>
      <w:r w:rsidR="004518C8">
        <w:rPr>
          <w:rFonts w:ascii="Garamond" w:hAnsi="Garamond"/>
          <w:sz w:val="24"/>
          <w:szCs w:val="24"/>
        </w:rPr>
        <w:t>,</w:t>
      </w:r>
      <w:r w:rsidRPr="00E91709">
        <w:rPr>
          <w:rFonts w:ascii="Garamond" w:hAnsi="Garamond"/>
          <w:sz w:val="24"/>
          <w:szCs w:val="24"/>
        </w:rPr>
        <w:t xml:space="preserve"> Southern Maine needs to aggressively pursue the infrastructure re</w:t>
      </w:r>
      <w:r w:rsidR="00102B5C">
        <w:rPr>
          <w:rFonts w:ascii="Garamond" w:hAnsi="Garamond"/>
          <w:sz w:val="24"/>
          <w:szCs w:val="24"/>
        </w:rPr>
        <w:t>quired to bring them to develop them</w:t>
      </w:r>
      <w:r w:rsidRPr="00E91709">
        <w:rPr>
          <w:rFonts w:ascii="Garamond" w:hAnsi="Garamond"/>
          <w:sz w:val="24"/>
          <w:szCs w:val="24"/>
        </w:rPr>
        <w:t>.  The necessary infrastructure, at a minimum includes transportation, waste water, drinking water, and broadband.  All of the Centers of Opportunity pilot projects revealed and underscored the need for infrastructure improvements in order to bring their visions to fruition.</w:t>
      </w:r>
    </w:p>
    <w:p w:rsidR="00E91709" w:rsidRPr="00E91709" w:rsidRDefault="00E91709" w:rsidP="00E91709">
      <w:pPr>
        <w:spacing w:after="0" w:line="240" w:lineRule="auto"/>
        <w:ind w:left="1080"/>
        <w:jc w:val="both"/>
        <w:rPr>
          <w:rFonts w:ascii="Garamond" w:hAnsi="Garamond"/>
          <w:sz w:val="24"/>
          <w:szCs w:val="24"/>
        </w:rPr>
      </w:pPr>
    </w:p>
    <w:p w:rsidR="00E91709" w:rsidRPr="00E91709" w:rsidRDefault="00E91709" w:rsidP="00E91709">
      <w:pPr>
        <w:pStyle w:val="ListParagraph"/>
        <w:ind w:left="1080"/>
        <w:jc w:val="both"/>
        <w:rPr>
          <w:rFonts w:ascii="Garamond" w:hAnsi="Garamond" w:cstheme="minorHAnsi"/>
          <w:sz w:val="24"/>
          <w:szCs w:val="24"/>
        </w:rPr>
      </w:pPr>
      <w:r w:rsidRPr="00E91709">
        <w:rPr>
          <w:rFonts w:ascii="Garamond" w:hAnsi="Garamond" w:cstheme="minorHAnsi"/>
          <w:sz w:val="24"/>
          <w:szCs w:val="24"/>
        </w:rPr>
        <w:t>Transportation</w:t>
      </w:r>
      <w:r>
        <w:rPr>
          <w:rFonts w:ascii="Garamond" w:hAnsi="Garamond" w:cstheme="minorHAnsi"/>
          <w:sz w:val="24"/>
          <w:szCs w:val="24"/>
        </w:rPr>
        <w:t xml:space="preserve">: </w:t>
      </w:r>
      <w:r w:rsidRPr="00E91709">
        <w:rPr>
          <w:rFonts w:ascii="Garamond" w:hAnsi="Garamond" w:cstheme="minorHAnsi"/>
          <w:sz w:val="24"/>
          <w:szCs w:val="24"/>
        </w:rPr>
        <w:t>Providing multi-modal transportation options to a dispersed population with limited funding will be no small feat.  With increased demand and reduced spending for infrastructure, the state department of transportation, metropolitan planning organizations, and communities are hesitant to shift limited funding currently spent on roads and bridges toward transit and bicycle/pedestrian infrastructure.  The Maine Department of Transportation currently has a projected deficit of $2.6-$3.8 billion needed to fund transportation projects statewide over the next 20 years.  The</w:t>
      </w:r>
      <w:r w:rsidR="00D25DA5">
        <w:rPr>
          <w:rFonts w:ascii="Garamond" w:hAnsi="Garamond" w:cstheme="minorHAnsi"/>
          <w:sz w:val="24"/>
          <w:szCs w:val="24"/>
        </w:rPr>
        <w:t xml:space="preserve"> deficit is attributed</w:t>
      </w:r>
      <w:r w:rsidRPr="00E91709">
        <w:rPr>
          <w:rFonts w:ascii="Garamond" w:hAnsi="Garamond" w:cstheme="minorHAnsi"/>
          <w:sz w:val="24"/>
          <w:szCs w:val="24"/>
        </w:rPr>
        <w:t xml:space="preserve"> to dwindling fuel tax revenues; high miles of road per capita; aging infrastructure; inflation of construction costs; and a lack of flexibility in spending.</w:t>
      </w:r>
    </w:p>
    <w:p w:rsidR="00E91709" w:rsidRPr="00E91709" w:rsidRDefault="00E91709" w:rsidP="00E91709">
      <w:pPr>
        <w:pStyle w:val="ListParagraph"/>
        <w:ind w:left="1080"/>
        <w:jc w:val="both"/>
        <w:rPr>
          <w:rFonts w:ascii="Garamond" w:hAnsi="Garamond" w:cstheme="minorHAnsi"/>
          <w:sz w:val="24"/>
          <w:szCs w:val="24"/>
        </w:rPr>
      </w:pPr>
    </w:p>
    <w:p w:rsidR="00E91709" w:rsidRPr="00E91709" w:rsidRDefault="00E91709" w:rsidP="00E91709">
      <w:pPr>
        <w:pStyle w:val="ListParagraph"/>
        <w:ind w:left="1080"/>
        <w:jc w:val="both"/>
        <w:rPr>
          <w:rFonts w:ascii="Garamond" w:hAnsi="Garamond" w:cstheme="minorHAnsi"/>
          <w:sz w:val="24"/>
          <w:szCs w:val="24"/>
        </w:rPr>
      </w:pPr>
      <w:r w:rsidRPr="00E91709">
        <w:rPr>
          <w:rFonts w:ascii="Garamond" w:hAnsi="Garamond" w:cstheme="minorHAnsi"/>
          <w:sz w:val="24"/>
          <w:szCs w:val="24"/>
        </w:rPr>
        <w:t xml:space="preserve">However, despite the slow shift in attitudes regarding funding, our transportation stakeholders and the Partnership agreed to a set of transportation priorities dominated by bicycle/pedestrian and transit strategies and actions.  Faced with an aging population who will have significant transportation needs in </w:t>
      </w:r>
      <w:r w:rsidR="00D25DA5">
        <w:rPr>
          <w:rFonts w:ascii="Garamond" w:hAnsi="Garamond" w:cstheme="minorHAnsi"/>
          <w:sz w:val="24"/>
          <w:szCs w:val="24"/>
        </w:rPr>
        <w:t>the coming years, as well as a need</w:t>
      </w:r>
      <w:r w:rsidRPr="00E91709">
        <w:rPr>
          <w:rFonts w:ascii="Garamond" w:hAnsi="Garamond" w:cstheme="minorHAnsi"/>
          <w:sz w:val="24"/>
          <w:szCs w:val="24"/>
        </w:rPr>
        <w:t xml:space="preserve"> to attract younger workers who on trend are choosing to live car-free, it is recognized that priorities must shift in order to support a vibrant future.</w:t>
      </w:r>
    </w:p>
    <w:p w:rsidR="00E91709" w:rsidRPr="00E91709" w:rsidRDefault="00E91709" w:rsidP="00E91709">
      <w:pPr>
        <w:pStyle w:val="ListParagraph"/>
        <w:ind w:left="1080"/>
        <w:jc w:val="both"/>
        <w:rPr>
          <w:rFonts w:ascii="Garamond" w:hAnsi="Garamond" w:cstheme="minorHAnsi"/>
          <w:sz w:val="24"/>
          <w:szCs w:val="24"/>
        </w:rPr>
      </w:pPr>
    </w:p>
    <w:p w:rsidR="00E91709" w:rsidRPr="00E91709" w:rsidRDefault="00E91709" w:rsidP="00E91709">
      <w:pPr>
        <w:pStyle w:val="ListParagraph"/>
        <w:ind w:left="1080"/>
        <w:jc w:val="both"/>
        <w:rPr>
          <w:rFonts w:ascii="Garamond" w:hAnsi="Garamond" w:cstheme="minorHAnsi"/>
          <w:sz w:val="24"/>
          <w:szCs w:val="24"/>
        </w:rPr>
      </w:pPr>
      <w:r w:rsidRPr="00E91709">
        <w:rPr>
          <w:rFonts w:ascii="Garamond" w:hAnsi="Garamond" w:cstheme="minorHAnsi"/>
          <w:sz w:val="24"/>
          <w:szCs w:val="24"/>
        </w:rPr>
        <w:t>Drinking Water</w:t>
      </w:r>
      <w:r>
        <w:rPr>
          <w:rFonts w:ascii="Garamond" w:hAnsi="Garamond" w:cstheme="minorHAnsi"/>
          <w:sz w:val="24"/>
          <w:szCs w:val="24"/>
        </w:rPr>
        <w:t xml:space="preserve">: </w:t>
      </w:r>
      <w:r w:rsidRPr="00E91709">
        <w:rPr>
          <w:rFonts w:ascii="Garamond" w:hAnsi="Garamond" w:cstheme="minorHAnsi"/>
          <w:sz w:val="24"/>
          <w:szCs w:val="24"/>
        </w:rPr>
        <w:t xml:space="preserve">In addition to replacing aging infrastructure, solutions and funding are needed to address the incompatibility of the various drinking water agencies.  Currently, the differences in infrastructure and lack of mutual agreements from one system to the next prohibit connecting systems that would allow one water provider to assist another in times </w:t>
      </w:r>
      <w:r w:rsidR="00D25DA5">
        <w:rPr>
          <w:rFonts w:ascii="Garamond" w:hAnsi="Garamond" w:cstheme="minorHAnsi"/>
          <w:sz w:val="24"/>
          <w:szCs w:val="24"/>
        </w:rPr>
        <w:t>of water shortages</w:t>
      </w:r>
      <w:r w:rsidRPr="00E91709">
        <w:rPr>
          <w:rFonts w:ascii="Garamond" w:hAnsi="Garamond" w:cstheme="minorHAnsi"/>
          <w:sz w:val="24"/>
          <w:szCs w:val="24"/>
        </w:rPr>
        <w:t>.</w:t>
      </w:r>
    </w:p>
    <w:p w:rsidR="00E91709" w:rsidRPr="00E91709" w:rsidRDefault="00E91709" w:rsidP="00E91709">
      <w:pPr>
        <w:pStyle w:val="ListParagraph"/>
        <w:ind w:left="1080"/>
        <w:jc w:val="both"/>
        <w:rPr>
          <w:rFonts w:ascii="Garamond" w:hAnsi="Garamond" w:cstheme="minorHAnsi"/>
          <w:sz w:val="24"/>
          <w:szCs w:val="24"/>
        </w:rPr>
      </w:pPr>
    </w:p>
    <w:p w:rsidR="00E91709" w:rsidRPr="00AC7520" w:rsidRDefault="00E91709" w:rsidP="00AC7520">
      <w:pPr>
        <w:pStyle w:val="ListParagraph"/>
        <w:ind w:left="1080"/>
        <w:jc w:val="both"/>
        <w:rPr>
          <w:rFonts w:ascii="Garamond" w:hAnsi="Garamond" w:cstheme="minorHAnsi"/>
          <w:sz w:val="24"/>
          <w:szCs w:val="24"/>
        </w:rPr>
      </w:pPr>
      <w:r w:rsidRPr="00AC7520">
        <w:rPr>
          <w:rFonts w:ascii="Garamond" w:hAnsi="Garamond" w:cstheme="minorHAnsi"/>
          <w:sz w:val="24"/>
          <w:szCs w:val="24"/>
        </w:rPr>
        <w:t>Waste Water</w:t>
      </w:r>
      <w:r w:rsidR="00AC7520">
        <w:rPr>
          <w:rFonts w:ascii="Garamond" w:hAnsi="Garamond" w:cstheme="minorHAnsi"/>
          <w:sz w:val="24"/>
          <w:szCs w:val="24"/>
        </w:rPr>
        <w:t xml:space="preserve">: </w:t>
      </w:r>
      <w:r w:rsidRPr="00AC7520">
        <w:rPr>
          <w:rFonts w:ascii="Garamond" w:hAnsi="Garamond" w:cstheme="minorHAnsi"/>
          <w:sz w:val="24"/>
          <w:szCs w:val="24"/>
        </w:rPr>
        <w:t>In addition to replacing aging infrastructure in the more urban areas, these areas are also underfunded in meeting their federal mandates to address Combined Sewer Overflows.  Suburban and rural communities that lack traditional sewer infrastructure necessary to support higher density development (anything greater than 2 dwelling units per acre) need technical assistance in</w:t>
      </w:r>
      <w:r w:rsidR="00EE3EF5">
        <w:rPr>
          <w:rFonts w:ascii="Garamond" w:hAnsi="Garamond" w:cstheme="minorHAnsi"/>
          <w:sz w:val="24"/>
          <w:szCs w:val="24"/>
        </w:rPr>
        <w:t xml:space="preserve"> creating permissive regulations</w:t>
      </w:r>
      <w:r w:rsidRPr="00AC7520">
        <w:rPr>
          <w:rFonts w:ascii="Garamond" w:hAnsi="Garamond" w:cstheme="minorHAnsi"/>
          <w:sz w:val="24"/>
          <w:szCs w:val="24"/>
        </w:rPr>
        <w:t xml:space="preserve"> for alternative</w:t>
      </w:r>
      <w:r w:rsidR="00EE3EF5">
        <w:rPr>
          <w:rFonts w:ascii="Garamond" w:hAnsi="Garamond" w:cstheme="minorHAnsi"/>
          <w:sz w:val="24"/>
          <w:szCs w:val="24"/>
        </w:rPr>
        <w:t>s</w:t>
      </w:r>
      <w:r w:rsidRPr="00AC7520">
        <w:rPr>
          <w:rFonts w:ascii="Garamond" w:hAnsi="Garamond" w:cstheme="minorHAnsi"/>
          <w:sz w:val="24"/>
          <w:szCs w:val="24"/>
        </w:rPr>
        <w:t xml:space="preserve"> such as shared, community septic.</w:t>
      </w:r>
    </w:p>
    <w:p w:rsidR="00E91709" w:rsidRPr="00E91709" w:rsidRDefault="00E91709" w:rsidP="00E91709">
      <w:pPr>
        <w:pStyle w:val="ListParagraph"/>
        <w:ind w:left="1080"/>
        <w:jc w:val="both"/>
        <w:rPr>
          <w:rFonts w:ascii="Garamond" w:hAnsi="Garamond" w:cstheme="minorHAnsi"/>
          <w:sz w:val="24"/>
          <w:szCs w:val="24"/>
        </w:rPr>
      </w:pPr>
    </w:p>
    <w:p w:rsidR="00E91709" w:rsidRPr="00AC7520" w:rsidRDefault="00E91709" w:rsidP="00AC7520">
      <w:pPr>
        <w:pStyle w:val="ListParagraph"/>
        <w:ind w:left="1080"/>
        <w:jc w:val="both"/>
        <w:rPr>
          <w:rFonts w:ascii="Garamond" w:hAnsi="Garamond" w:cstheme="minorHAnsi"/>
          <w:sz w:val="24"/>
          <w:szCs w:val="24"/>
        </w:rPr>
      </w:pPr>
      <w:r w:rsidRPr="00AC7520">
        <w:rPr>
          <w:rFonts w:ascii="Garamond" w:hAnsi="Garamond" w:cstheme="minorHAnsi"/>
          <w:sz w:val="24"/>
          <w:szCs w:val="24"/>
        </w:rPr>
        <w:t>Broadband</w:t>
      </w:r>
      <w:r w:rsidR="00AC7520">
        <w:rPr>
          <w:rFonts w:ascii="Garamond" w:hAnsi="Garamond" w:cstheme="minorHAnsi"/>
          <w:sz w:val="24"/>
          <w:szCs w:val="24"/>
        </w:rPr>
        <w:t xml:space="preserve">: </w:t>
      </w:r>
      <w:r w:rsidRPr="00AC7520">
        <w:rPr>
          <w:rFonts w:ascii="Garamond" w:hAnsi="Garamond" w:cstheme="minorHAnsi"/>
          <w:sz w:val="24"/>
          <w:szCs w:val="24"/>
        </w:rPr>
        <w:t xml:space="preserve">Maine as a state has always lagged in telecommunications, but the distance at which we are behind the rest of the country in regards to broadband in significant.  Not </w:t>
      </w:r>
      <w:r w:rsidRPr="00AC7520">
        <w:rPr>
          <w:rFonts w:ascii="Garamond" w:hAnsi="Garamond" w:cstheme="minorHAnsi"/>
          <w:sz w:val="24"/>
          <w:szCs w:val="24"/>
        </w:rPr>
        <w:lastRenderedPageBreak/>
        <w:t xml:space="preserve">only do we lack the infrastructure for high speed broadband, we lack an understanding of its importance to our economy, quality of place, and future.  In order for the Centers of Opportunity concept to fully take shape and succeed, we must raise awareness of broadband’s criticality and role in creating prosperity. </w:t>
      </w:r>
    </w:p>
    <w:p w:rsidR="00E91709" w:rsidRPr="00E91709" w:rsidRDefault="00E91709" w:rsidP="00E91709">
      <w:pPr>
        <w:pStyle w:val="ListParagraph"/>
        <w:ind w:left="1080"/>
        <w:jc w:val="both"/>
        <w:rPr>
          <w:rFonts w:ascii="Garamond" w:hAnsi="Garamond" w:cstheme="minorHAnsi"/>
          <w:sz w:val="24"/>
          <w:szCs w:val="24"/>
        </w:rPr>
      </w:pPr>
    </w:p>
    <w:p w:rsidR="00E91709" w:rsidRPr="00AC7520" w:rsidRDefault="00E91709" w:rsidP="00AC7520">
      <w:pPr>
        <w:pStyle w:val="ListParagraph"/>
        <w:ind w:left="1080"/>
        <w:jc w:val="both"/>
        <w:rPr>
          <w:rFonts w:ascii="Garamond" w:hAnsi="Garamond" w:cstheme="minorHAnsi"/>
          <w:sz w:val="24"/>
          <w:szCs w:val="24"/>
          <w:u w:val="single"/>
        </w:rPr>
      </w:pPr>
      <w:r w:rsidRPr="00AC7520">
        <w:rPr>
          <w:rFonts w:ascii="Garamond" w:hAnsi="Garamond" w:cstheme="minorHAnsi"/>
          <w:sz w:val="24"/>
          <w:szCs w:val="24"/>
          <w:u w:val="single"/>
        </w:rPr>
        <w:t>Energy</w:t>
      </w:r>
      <w:r w:rsidR="00AC7520">
        <w:rPr>
          <w:rFonts w:ascii="Garamond" w:hAnsi="Garamond" w:cstheme="minorHAnsi"/>
          <w:sz w:val="24"/>
          <w:szCs w:val="24"/>
          <w:u w:val="single"/>
        </w:rPr>
        <w:t xml:space="preserve">: </w:t>
      </w:r>
      <w:r w:rsidRPr="00AC7520">
        <w:rPr>
          <w:rFonts w:ascii="Garamond" w:hAnsi="Garamond" w:cstheme="minorHAnsi"/>
          <w:sz w:val="24"/>
          <w:szCs w:val="24"/>
        </w:rPr>
        <w:t>In 2010, Cumberland and York Counties spent an estimated $2.1 billion on energy.  Reducing the energy burden on Southern Maine residents, municipalities, and businesses represents an opportunity to bolster our economy.</w:t>
      </w:r>
    </w:p>
    <w:p w:rsidR="00E91709" w:rsidRPr="00E91709" w:rsidRDefault="00E91709" w:rsidP="00E91709">
      <w:pPr>
        <w:pStyle w:val="ListParagraph"/>
        <w:ind w:left="1080"/>
        <w:jc w:val="both"/>
        <w:rPr>
          <w:rFonts w:ascii="Garamond" w:hAnsi="Garamond" w:cstheme="minorHAnsi"/>
          <w:sz w:val="24"/>
          <w:szCs w:val="24"/>
        </w:rPr>
      </w:pPr>
    </w:p>
    <w:p w:rsidR="00E91709" w:rsidRPr="00E91709" w:rsidRDefault="00E91709" w:rsidP="00E91709">
      <w:pPr>
        <w:pStyle w:val="ListParagraph"/>
        <w:ind w:left="1080"/>
        <w:jc w:val="both"/>
        <w:rPr>
          <w:rFonts w:ascii="Garamond" w:hAnsi="Garamond" w:cstheme="minorHAnsi"/>
          <w:sz w:val="24"/>
          <w:szCs w:val="24"/>
        </w:rPr>
      </w:pPr>
      <w:r w:rsidRPr="00E91709">
        <w:rPr>
          <w:rFonts w:ascii="Garamond" w:hAnsi="Garamond" w:cstheme="minorHAnsi"/>
          <w:sz w:val="24"/>
          <w:szCs w:val="24"/>
        </w:rPr>
        <w:t>Of all the energy priorities set for the region those related to buildings generate the greatest energy savings and CO</w:t>
      </w:r>
      <w:r w:rsidRPr="00E91709">
        <w:rPr>
          <w:rFonts w:ascii="Garamond" w:hAnsi="Garamond" w:cstheme="minorHAnsi"/>
          <w:sz w:val="24"/>
          <w:szCs w:val="24"/>
          <w:vertAlign w:val="subscript"/>
        </w:rPr>
        <w:t>2</w:t>
      </w:r>
      <w:r w:rsidRPr="00E91709">
        <w:rPr>
          <w:rFonts w:ascii="Garamond" w:hAnsi="Garamond" w:cstheme="minorHAnsi"/>
          <w:sz w:val="24"/>
          <w:szCs w:val="24"/>
        </w:rPr>
        <w:t xml:space="preserve"> emission reductions.   Combined, energy upgrades to residences, municipal facilities, and business achieve the greatest outcome.  Upgrades for residences and municipalities could be addressed through promotion of existing funding and incentive programs for energy-related improvements, as well as development of additional funding options for improvements.  Upgrades for businesses could be addressed through partnerships with organizations such as Mobilize Maine to promote existing funding and incentive programs for businesses; developing additional funding options for commercial energy efficiency and renewable energy projects; and establishing connections between local renewable energy and alternative fuel suppliers and businesses.</w:t>
      </w:r>
    </w:p>
    <w:p w:rsidR="00E91709" w:rsidRPr="00E91709" w:rsidRDefault="00E91709" w:rsidP="00E91709">
      <w:pPr>
        <w:pStyle w:val="ListParagraph"/>
        <w:ind w:left="1080"/>
        <w:jc w:val="both"/>
        <w:rPr>
          <w:rFonts w:ascii="Garamond" w:hAnsi="Garamond" w:cstheme="minorHAnsi"/>
          <w:sz w:val="24"/>
          <w:szCs w:val="24"/>
        </w:rPr>
      </w:pPr>
    </w:p>
    <w:p w:rsidR="00E91709" w:rsidRPr="00AC7520" w:rsidRDefault="00AC7520" w:rsidP="00AC7520">
      <w:pPr>
        <w:pStyle w:val="ListParagraph"/>
        <w:ind w:left="1080"/>
        <w:jc w:val="both"/>
        <w:rPr>
          <w:rFonts w:ascii="Garamond" w:hAnsi="Garamond" w:cstheme="minorHAnsi"/>
          <w:sz w:val="24"/>
          <w:szCs w:val="24"/>
          <w:u w:val="single"/>
        </w:rPr>
      </w:pPr>
      <w:r w:rsidRPr="001A7394">
        <w:rPr>
          <w:rFonts w:ascii="Garamond" w:hAnsi="Garamond" w:cstheme="minorHAnsi"/>
          <w:sz w:val="24"/>
          <w:szCs w:val="24"/>
          <w:u w:val="single"/>
        </w:rPr>
        <w:t>Climate Change:</w:t>
      </w:r>
      <w:r>
        <w:rPr>
          <w:rFonts w:ascii="Garamond" w:hAnsi="Garamond" w:cstheme="minorHAnsi"/>
          <w:sz w:val="24"/>
          <w:szCs w:val="24"/>
          <w:u w:val="single"/>
        </w:rPr>
        <w:t xml:space="preserve"> </w:t>
      </w:r>
      <w:r w:rsidR="00E91709" w:rsidRPr="00AC7520">
        <w:rPr>
          <w:rFonts w:ascii="Garamond" w:hAnsi="Garamond" w:cstheme="minorHAnsi"/>
          <w:sz w:val="24"/>
          <w:szCs w:val="24"/>
        </w:rPr>
        <w:t>A 2-foot coastal storm surge would flood 613 road segments, or potentially make more than 40 miles of road in the coastal communities between Kittery and Brunswick impassible (for reference, Hurricane Sandy had a storm surge of 13-feet).  As a coastal region, the reality of climate change is largely accepted, but agreement on adaptation strategies has been slow to come.  Additionally, most of the discussion around climate change has focused on sea level rise and storm surge.  The time is ripe for expanding the discussion to include inland communities in regards to storm frequency/intensity and flooding, as well as heat days and at risk populations.</w:t>
      </w:r>
    </w:p>
    <w:p w:rsidR="00E91709" w:rsidRPr="00E91709" w:rsidRDefault="00E91709" w:rsidP="001B1B7B">
      <w:pPr>
        <w:pStyle w:val="ListParagraph"/>
        <w:ind w:left="1080"/>
        <w:rPr>
          <w:rFonts w:ascii="Garamond" w:hAnsi="Garamond" w:cstheme="minorHAnsi"/>
          <w:sz w:val="24"/>
          <w:szCs w:val="24"/>
        </w:rPr>
      </w:pPr>
    </w:p>
    <w:p w:rsidR="002C1E45" w:rsidRPr="002C1E45" w:rsidRDefault="002C1E45" w:rsidP="00EB6C3B">
      <w:pPr>
        <w:pStyle w:val="ListParagraph"/>
        <w:ind w:left="1440"/>
        <w:rPr>
          <w:rFonts w:ascii="Garamond" w:hAnsi="Garamond" w:cstheme="minorHAnsi"/>
          <w:b/>
          <w:sz w:val="24"/>
          <w:szCs w:val="24"/>
        </w:rPr>
      </w:pPr>
    </w:p>
    <w:p w:rsidR="00387BC5" w:rsidRPr="00387BC5" w:rsidRDefault="00EB6C3B" w:rsidP="00387BC5">
      <w:pPr>
        <w:pStyle w:val="ListParagraph"/>
        <w:numPr>
          <w:ilvl w:val="1"/>
          <w:numId w:val="12"/>
        </w:numPr>
        <w:rPr>
          <w:rFonts w:ascii="Garamond" w:hAnsi="Garamond" w:cstheme="minorHAnsi"/>
          <w:b/>
          <w:sz w:val="24"/>
          <w:szCs w:val="24"/>
          <w:u w:val="single"/>
        </w:rPr>
      </w:pPr>
      <w:r w:rsidRPr="00EB6C3B">
        <w:rPr>
          <w:rFonts w:ascii="Garamond" w:eastAsia="Times New Roman" w:hAnsi="Garamond" w:cs="Times New Roman"/>
          <w:b/>
          <w:bCs/>
          <w:color w:val="000000"/>
          <w:sz w:val="24"/>
          <w:szCs w:val="24"/>
        </w:rPr>
        <w:t>Are you staying on target for the overall goal of the initiative?</w:t>
      </w:r>
      <w:r w:rsidRPr="00EB6C3B">
        <w:rPr>
          <w:rFonts w:ascii="Garamond" w:eastAsia="Times New Roman" w:hAnsi="Garamond" w:cs="Times New Roman"/>
          <w:color w:val="000000"/>
          <w:sz w:val="24"/>
          <w:szCs w:val="24"/>
        </w:rPr>
        <w:t xml:space="preserve"> </w:t>
      </w:r>
      <w:r w:rsidRPr="00EB6C3B">
        <w:rPr>
          <w:rFonts w:ascii="Garamond" w:eastAsia="Times New Roman" w:hAnsi="Garamond" w:cs="Times New Roman"/>
          <w:i/>
          <w:color w:val="000000"/>
          <w:sz w:val="24"/>
          <w:szCs w:val="24"/>
        </w:rPr>
        <w:t>To what extent are the overall program outcomes and workplan deliverables a helpful reference point?</w:t>
      </w:r>
    </w:p>
    <w:p w:rsidR="00387BC5" w:rsidRPr="00E56D46" w:rsidRDefault="00E56D46" w:rsidP="00387BC5">
      <w:pPr>
        <w:pStyle w:val="ListParagraph"/>
        <w:ind w:left="1440"/>
        <w:rPr>
          <w:rFonts w:ascii="Garamond" w:hAnsi="Garamond" w:cstheme="minorHAnsi"/>
          <w:sz w:val="24"/>
          <w:szCs w:val="24"/>
          <w:u w:val="single"/>
        </w:rPr>
      </w:pPr>
      <w:r>
        <w:rPr>
          <w:rFonts w:ascii="Garamond" w:eastAsia="Times New Roman" w:hAnsi="Garamond" w:cs="Times New Roman"/>
          <w:bCs/>
          <w:color w:val="000000"/>
          <w:sz w:val="24"/>
          <w:szCs w:val="24"/>
        </w:rPr>
        <w:t>Yes</w:t>
      </w:r>
    </w:p>
    <w:p w:rsidR="00DF3B27" w:rsidRPr="00EB6C3B" w:rsidRDefault="00DF3B27" w:rsidP="00EB6C3B">
      <w:pPr>
        <w:pStyle w:val="ListParagraph"/>
        <w:rPr>
          <w:rFonts w:ascii="Garamond" w:eastAsia="Times New Roman" w:hAnsi="Garamond" w:cs="Times New Roman"/>
          <w:b/>
          <w:bCs/>
          <w:color w:val="000000"/>
          <w:sz w:val="24"/>
          <w:szCs w:val="24"/>
        </w:rPr>
      </w:pPr>
    </w:p>
    <w:p w:rsidR="00EB6C3B" w:rsidRPr="00DF3B27" w:rsidRDefault="00EB6C3B" w:rsidP="00EB6C3B">
      <w:pPr>
        <w:pStyle w:val="ListParagraph"/>
        <w:numPr>
          <w:ilvl w:val="1"/>
          <w:numId w:val="12"/>
        </w:numPr>
        <w:rPr>
          <w:rFonts w:ascii="Garamond" w:hAnsi="Garamond" w:cstheme="minorHAnsi"/>
          <w:b/>
          <w:sz w:val="24"/>
          <w:szCs w:val="24"/>
          <w:u w:val="single"/>
        </w:rPr>
      </w:pPr>
      <w:r w:rsidRPr="00EB6C3B">
        <w:rPr>
          <w:rFonts w:ascii="Garamond" w:eastAsia="Times New Roman" w:hAnsi="Garamond" w:cs="Times New Roman"/>
          <w:b/>
          <w:bCs/>
          <w:color w:val="000000"/>
          <w:sz w:val="24"/>
          <w:szCs w:val="24"/>
        </w:rPr>
        <w:t xml:space="preserve">What evidence do </w:t>
      </w:r>
      <w:r>
        <w:rPr>
          <w:rFonts w:ascii="Garamond" w:eastAsia="Times New Roman" w:hAnsi="Garamond" w:cs="Times New Roman"/>
          <w:b/>
          <w:bCs/>
          <w:color w:val="000000"/>
          <w:sz w:val="24"/>
          <w:szCs w:val="24"/>
        </w:rPr>
        <w:t>you</w:t>
      </w:r>
      <w:r w:rsidRPr="00EB6C3B">
        <w:rPr>
          <w:rFonts w:ascii="Garamond" w:eastAsia="Times New Roman" w:hAnsi="Garamond" w:cs="Times New Roman"/>
          <w:b/>
          <w:bCs/>
          <w:color w:val="000000"/>
          <w:sz w:val="24"/>
          <w:szCs w:val="24"/>
        </w:rPr>
        <w:t xml:space="preserve"> have that this plan will translate to concrete impact and actual implementation in the months and years to come?</w:t>
      </w:r>
      <w:r w:rsidRPr="00EB6C3B">
        <w:rPr>
          <w:rFonts w:ascii="Garamond" w:eastAsia="Times New Roman" w:hAnsi="Garamond" w:cs="Times New Roman"/>
          <w:color w:val="000000"/>
          <w:sz w:val="24"/>
          <w:szCs w:val="24"/>
        </w:rPr>
        <w:t xml:space="preserve">  </w:t>
      </w:r>
      <w:r w:rsidRPr="00EB6C3B">
        <w:rPr>
          <w:rFonts w:ascii="Garamond" w:eastAsia="Times New Roman" w:hAnsi="Garamond" w:cs="Times New Roman"/>
          <w:i/>
          <w:color w:val="000000"/>
          <w:sz w:val="24"/>
          <w:szCs w:val="24"/>
        </w:rPr>
        <w:t>Has the quality of the implementation taken on a different character because of the approach that you have taken in the planning process (e.g., emphasis on engagement and equity)? </w:t>
      </w:r>
      <w:r w:rsidRPr="00EB6C3B">
        <w:rPr>
          <w:rFonts w:ascii="Garamond" w:eastAsia="Times New Roman" w:hAnsi="Garamond" w:cs="Times New Roman"/>
          <w:color w:val="000000"/>
          <w:sz w:val="24"/>
          <w:szCs w:val="24"/>
        </w:rPr>
        <w:t xml:space="preserve"> </w:t>
      </w:r>
    </w:p>
    <w:p w:rsidR="00E56D46" w:rsidRPr="00E56D46" w:rsidRDefault="00E56D46" w:rsidP="00E56D46">
      <w:pPr>
        <w:ind w:left="1080"/>
        <w:jc w:val="both"/>
        <w:rPr>
          <w:rFonts w:ascii="Garamond" w:hAnsi="Garamond"/>
          <w:sz w:val="24"/>
          <w:szCs w:val="24"/>
        </w:rPr>
      </w:pPr>
      <w:r w:rsidRPr="00E56D46">
        <w:rPr>
          <w:rFonts w:ascii="Garamond" w:hAnsi="Garamond"/>
          <w:sz w:val="24"/>
          <w:szCs w:val="24"/>
        </w:rPr>
        <w:lastRenderedPageBreak/>
        <w:t>We believe if we continue to put the right people in the room, we can move the identified priorities forward and see the success we are seeking.  A number of recent and ongoing events lead us to believe we can be successful.</w:t>
      </w:r>
    </w:p>
    <w:p w:rsidR="00E56D46" w:rsidRPr="00E56D46" w:rsidRDefault="00E56D46" w:rsidP="00E56D46">
      <w:pPr>
        <w:pStyle w:val="ListParagraph"/>
        <w:numPr>
          <w:ilvl w:val="0"/>
          <w:numId w:val="16"/>
        </w:numPr>
        <w:ind w:left="1800"/>
        <w:jc w:val="both"/>
        <w:rPr>
          <w:rFonts w:ascii="Garamond" w:hAnsi="Garamond"/>
          <w:sz w:val="24"/>
          <w:szCs w:val="24"/>
        </w:rPr>
      </w:pPr>
      <w:r w:rsidRPr="00E56D46">
        <w:rPr>
          <w:rFonts w:ascii="Garamond" w:hAnsi="Garamond"/>
          <w:sz w:val="24"/>
          <w:szCs w:val="24"/>
        </w:rPr>
        <w:t>Over the winter of 2013-2014 all four of the entitlement jurisdictions within the Sustain Southern Maine region: Portland, Biddeford, Cumberland County, and MaineHousing all endorsed the Regional Analysis of Impediments to Fair Housing.</w:t>
      </w:r>
    </w:p>
    <w:p w:rsidR="00E56D46" w:rsidRPr="00E56D46" w:rsidRDefault="00E56D46" w:rsidP="00E56D46">
      <w:pPr>
        <w:pStyle w:val="ListParagraph"/>
        <w:numPr>
          <w:ilvl w:val="0"/>
          <w:numId w:val="16"/>
        </w:numPr>
        <w:ind w:left="1800"/>
        <w:jc w:val="both"/>
        <w:rPr>
          <w:rFonts w:ascii="Garamond" w:hAnsi="Garamond"/>
          <w:sz w:val="24"/>
          <w:szCs w:val="24"/>
        </w:rPr>
      </w:pPr>
      <w:r w:rsidRPr="00E56D46">
        <w:rPr>
          <w:rFonts w:ascii="Garamond" w:hAnsi="Garamond"/>
          <w:sz w:val="24"/>
          <w:szCs w:val="24"/>
        </w:rPr>
        <w:t>On February 27</w:t>
      </w:r>
      <w:r w:rsidRPr="00E56D46">
        <w:rPr>
          <w:rFonts w:ascii="Garamond" w:hAnsi="Garamond"/>
          <w:sz w:val="24"/>
          <w:szCs w:val="24"/>
          <w:vertAlign w:val="superscript"/>
        </w:rPr>
        <w:t>th</w:t>
      </w:r>
      <w:r w:rsidRPr="00E56D46">
        <w:rPr>
          <w:rFonts w:ascii="Garamond" w:hAnsi="Garamond"/>
          <w:sz w:val="24"/>
          <w:szCs w:val="24"/>
        </w:rPr>
        <w:t>, 2014 GPCOG’s METRO Coalition convened to address critical issues to the region with an emphasis on transportation infrastructure.  At the heart of the issue is a lack of funding for infrastructure across the region.  Coalition members agreed that a new funding mechanism is needed and discussed ideas such as increasing fuel taxes, changes to vehicle taxes, and local option sales taxes.  Though no decisions regarding actions were made, there was general agreement that alternative funding mechanisms need exploration.</w:t>
      </w:r>
    </w:p>
    <w:p w:rsidR="00E56D46" w:rsidRPr="00E56D46" w:rsidRDefault="00E56D46" w:rsidP="00E56D46">
      <w:pPr>
        <w:pStyle w:val="ListParagraph"/>
        <w:numPr>
          <w:ilvl w:val="0"/>
          <w:numId w:val="16"/>
        </w:numPr>
        <w:ind w:left="1800"/>
        <w:jc w:val="both"/>
        <w:rPr>
          <w:rFonts w:ascii="Garamond" w:hAnsi="Garamond"/>
          <w:sz w:val="24"/>
          <w:szCs w:val="24"/>
        </w:rPr>
      </w:pPr>
      <w:r w:rsidRPr="00E56D46">
        <w:rPr>
          <w:rFonts w:ascii="Garamond" w:hAnsi="Garamond"/>
          <w:sz w:val="24"/>
          <w:szCs w:val="24"/>
        </w:rPr>
        <w:t xml:space="preserve">In February of 2014, the Portland Area Comprehensive Transportation System’s Transit Committee, representative of all the Southern Maine transit providers, began developing a policy regarding transit service expansion.  Development of the policy directly supports the Sustain Southern Maine priority of </w:t>
      </w:r>
      <w:r w:rsidRPr="00E56D46">
        <w:rPr>
          <w:rFonts w:ascii="Garamond" w:hAnsi="Garamond"/>
          <w:i/>
          <w:sz w:val="24"/>
          <w:szCs w:val="24"/>
        </w:rPr>
        <w:t>expanding transit service to appropriate new locations</w:t>
      </w:r>
      <w:r w:rsidRPr="00E56D46">
        <w:rPr>
          <w:rFonts w:ascii="Garamond" w:hAnsi="Garamond"/>
          <w:sz w:val="24"/>
          <w:szCs w:val="24"/>
        </w:rPr>
        <w:t xml:space="preserve"> and aims to link proposed transit expansion to criteria relating to land use and population centers. </w:t>
      </w:r>
    </w:p>
    <w:p w:rsidR="00E56D46" w:rsidRPr="00E56D46" w:rsidRDefault="00E56D46" w:rsidP="00E56D46">
      <w:pPr>
        <w:pStyle w:val="ListParagraph"/>
        <w:numPr>
          <w:ilvl w:val="0"/>
          <w:numId w:val="16"/>
        </w:numPr>
        <w:ind w:left="1800"/>
        <w:jc w:val="both"/>
        <w:rPr>
          <w:rFonts w:ascii="Garamond" w:hAnsi="Garamond"/>
          <w:sz w:val="24"/>
          <w:szCs w:val="24"/>
        </w:rPr>
      </w:pPr>
      <w:r w:rsidRPr="00E56D46">
        <w:rPr>
          <w:rFonts w:ascii="Garamond" w:hAnsi="Garamond"/>
          <w:sz w:val="24"/>
          <w:szCs w:val="24"/>
        </w:rPr>
        <w:t>In January, Portland Adult Education opened its new New Mainers Resource Center.  The Center and its programming directly support the Sustain Southern Maine priorities of:</w:t>
      </w:r>
    </w:p>
    <w:p w:rsidR="00E56D46" w:rsidRPr="00E56D46" w:rsidRDefault="00E56D46" w:rsidP="00E56D46">
      <w:pPr>
        <w:pStyle w:val="ListParagraph"/>
        <w:numPr>
          <w:ilvl w:val="1"/>
          <w:numId w:val="16"/>
        </w:numPr>
        <w:ind w:left="2520"/>
        <w:jc w:val="both"/>
        <w:rPr>
          <w:rFonts w:ascii="Garamond" w:hAnsi="Garamond"/>
          <w:sz w:val="24"/>
          <w:szCs w:val="24"/>
        </w:rPr>
      </w:pPr>
      <w:r w:rsidRPr="00E56D46">
        <w:rPr>
          <w:rFonts w:ascii="Garamond" w:hAnsi="Garamond"/>
          <w:i/>
          <w:sz w:val="24"/>
          <w:szCs w:val="24"/>
        </w:rPr>
        <w:t>Helping immigrants overcome the English language barrier</w:t>
      </w:r>
      <w:r w:rsidRPr="00E56D46">
        <w:rPr>
          <w:rFonts w:ascii="Garamond" w:hAnsi="Garamond"/>
          <w:sz w:val="24"/>
          <w:szCs w:val="24"/>
        </w:rPr>
        <w:t xml:space="preserve">; and </w:t>
      </w:r>
    </w:p>
    <w:p w:rsidR="00E56D46" w:rsidRPr="00E56D46" w:rsidRDefault="00E56D46" w:rsidP="00E56D46">
      <w:pPr>
        <w:pStyle w:val="ListParagraph"/>
        <w:numPr>
          <w:ilvl w:val="1"/>
          <w:numId w:val="16"/>
        </w:numPr>
        <w:ind w:left="2520"/>
        <w:jc w:val="both"/>
        <w:rPr>
          <w:rFonts w:ascii="Garamond" w:hAnsi="Garamond"/>
          <w:sz w:val="24"/>
          <w:szCs w:val="24"/>
        </w:rPr>
      </w:pPr>
      <w:r w:rsidRPr="00E56D46">
        <w:rPr>
          <w:rFonts w:ascii="Garamond" w:hAnsi="Garamond"/>
          <w:i/>
          <w:sz w:val="24"/>
          <w:szCs w:val="24"/>
        </w:rPr>
        <w:t>Establishing programs to identify and support immigrants with professional or other advanced skills</w:t>
      </w:r>
    </w:p>
    <w:p w:rsidR="00E56D46" w:rsidRPr="00E56D46" w:rsidRDefault="00E56D46" w:rsidP="00E56D46">
      <w:pPr>
        <w:ind w:left="1800"/>
        <w:jc w:val="both"/>
        <w:rPr>
          <w:rFonts w:ascii="Garamond" w:hAnsi="Garamond"/>
          <w:sz w:val="24"/>
          <w:szCs w:val="24"/>
        </w:rPr>
      </w:pPr>
      <w:r w:rsidRPr="00E56D46">
        <w:rPr>
          <w:rFonts w:ascii="Garamond" w:hAnsi="Garamond"/>
          <w:sz w:val="24"/>
          <w:szCs w:val="24"/>
        </w:rPr>
        <w:t>Program services include: career guidance and case management, profession specific English language classes, employer networking, job search skills, and assistance with credentialing and licensing requirements.</w:t>
      </w:r>
    </w:p>
    <w:p w:rsidR="00E56D46" w:rsidRPr="00E56D46" w:rsidRDefault="00E56D46" w:rsidP="00E56D46">
      <w:pPr>
        <w:pStyle w:val="ListParagraph"/>
        <w:numPr>
          <w:ilvl w:val="0"/>
          <w:numId w:val="17"/>
        </w:numPr>
        <w:ind w:left="1800"/>
        <w:jc w:val="both"/>
        <w:rPr>
          <w:rFonts w:ascii="Garamond" w:hAnsi="Garamond"/>
          <w:sz w:val="24"/>
          <w:szCs w:val="24"/>
        </w:rPr>
      </w:pPr>
      <w:r w:rsidRPr="00E56D46">
        <w:rPr>
          <w:rFonts w:ascii="Garamond" w:hAnsi="Garamond"/>
          <w:sz w:val="24"/>
          <w:szCs w:val="24"/>
        </w:rPr>
        <w:t xml:space="preserve">Mobilize Maine’s Energy Action Team (EAT) continues to make headway on implementing energy projects and reducing energy consumption and costs – all supporting the Sustain Southern Maine priority to </w:t>
      </w:r>
      <w:r w:rsidRPr="00E56D46">
        <w:rPr>
          <w:rFonts w:ascii="Garamond" w:hAnsi="Garamond"/>
          <w:i/>
          <w:sz w:val="24"/>
          <w:szCs w:val="24"/>
        </w:rPr>
        <w:t>increase energy-related upgrades for businesses</w:t>
      </w:r>
      <w:r w:rsidRPr="00E56D46">
        <w:rPr>
          <w:rFonts w:ascii="Garamond" w:hAnsi="Garamond"/>
          <w:sz w:val="24"/>
          <w:szCs w:val="24"/>
        </w:rPr>
        <w:t xml:space="preserve">.  In November of 2013 EAT held a Combined Heat and Power workshop for businesses; in April of 2014 they held an Energy Efficiency for Small Businesses workshop and an Energy Summit at St. Joseph’s College; in June of 2014 the team successfully completed transitioning the Casco Bay Ferry fleet to locally produced bio-diesel; and the team has initiated formation of a </w:t>
      </w:r>
      <w:r w:rsidRPr="00E56D46">
        <w:rPr>
          <w:rFonts w:ascii="Garamond" w:hAnsi="Garamond"/>
          <w:sz w:val="24"/>
          <w:szCs w:val="24"/>
        </w:rPr>
        <w:lastRenderedPageBreak/>
        <w:t>2030 District (a high performance building district) in downtown Portland and has already recruited several commercial property owners.</w:t>
      </w:r>
    </w:p>
    <w:p w:rsidR="00E56D46" w:rsidRPr="00E56D46" w:rsidRDefault="00E56D46" w:rsidP="00E56D46">
      <w:pPr>
        <w:pStyle w:val="ListParagraph"/>
        <w:ind w:left="1800"/>
        <w:jc w:val="both"/>
        <w:rPr>
          <w:rFonts w:ascii="Garamond" w:hAnsi="Garamond"/>
          <w:sz w:val="24"/>
          <w:szCs w:val="24"/>
        </w:rPr>
      </w:pPr>
    </w:p>
    <w:p w:rsidR="00E56D46" w:rsidRPr="00E56D46" w:rsidRDefault="00E56D46" w:rsidP="00E56D46">
      <w:pPr>
        <w:pStyle w:val="ListParagraph"/>
        <w:numPr>
          <w:ilvl w:val="0"/>
          <w:numId w:val="17"/>
        </w:numPr>
        <w:ind w:left="1800"/>
        <w:jc w:val="both"/>
        <w:rPr>
          <w:rFonts w:ascii="Garamond" w:hAnsi="Garamond"/>
          <w:sz w:val="24"/>
          <w:szCs w:val="24"/>
        </w:rPr>
      </w:pPr>
      <w:r w:rsidRPr="00E56D46">
        <w:rPr>
          <w:rFonts w:ascii="Garamond" w:hAnsi="Garamond"/>
          <w:sz w:val="24"/>
          <w:szCs w:val="24"/>
        </w:rPr>
        <w:t>At the close of 2013 the Department of Homeland Security initiated a Regional Resiliency Assessment Program in the Portland metropolitan and Casco Bay watershed area.  It is anticipated that the data collected and goals of the program can be leveraged to support the Sustain Southern Maine priorities of:</w:t>
      </w:r>
    </w:p>
    <w:p w:rsidR="00E56D46" w:rsidRPr="00E56D46" w:rsidRDefault="00E56D46" w:rsidP="00E56D46">
      <w:pPr>
        <w:pStyle w:val="ListParagraph"/>
        <w:ind w:left="1800"/>
        <w:rPr>
          <w:rFonts w:ascii="Garamond" w:hAnsi="Garamond"/>
          <w:sz w:val="24"/>
          <w:szCs w:val="24"/>
        </w:rPr>
      </w:pPr>
    </w:p>
    <w:p w:rsidR="00E56D46" w:rsidRPr="00E56D46" w:rsidRDefault="00E56D46" w:rsidP="00E56D46">
      <w:pPr>
        <w:pStyle w:val="ListParagraph"/>
        <w:numPr>
          <w:ilvl w:val="1"/>
          <w:numId w:val="17"/>
        </w:numPr>
        <w:ind w:left="2520"/>
        <w:jc w:val="both"/>
        <w:rPr>
          <w:rFonts w:ascii="Garamond" w:hAnsi="Garamond"/>
          <w:sz w:val="24"/>
          <w:szCs w:val="24"/>
        </w:rPr>
      </w:pPr>
      <w:r w:rsidRPr="00E56D46">
        <w:rPr>
          <w:rFonts w:ascii="Garamond" w:hAnsi="Garamond"/>
          <w:i/>
          <w:sz w:val="24"/>
          <w:szCs w:val="24"/>
        </w:rPr>
        <w:t>Promoting the use of innovative engineering practices to lessen climate driven sea level and stormwater effects</w:t>
      </w:r>
    </w:p>
    <w:p w:rsidR="00E56D46" w:rsidRPr="00E56D46" w:rsidRDefault="00E56D46" w:rsidP="00E56D46">
      <w:pPr>
        <w:pStyle w:val="ListParagraph"/>
        <w:numPr>
          <w:ilvl w:val="1"/>
          <w:numId w:val="17"/>
        </w:numPr>
        <w:ind w:left="2520"/>
        <w:jc w:val="both"/>
        <w:rPr>
          <w:rFonts w:ascii="Garamond" w:hAnsi="Garamond"/>
          <w:sz w:val="24"/>
          <w:szCs w:val="24"/>
        </w:rPr>
      </w:pPr>
      <w:r w:rsidRPr="00E56D46">
        <w:rPr>
          <w:rFonts w:ascii="Garamond" w:hAnsi="Garamond"/>
          <w:i/>
          <w:sz w:val="24"/>
          <w:szCs w:val="24"/>
        </w:rPr>
        <w:t>Increasing inter-connection capacity and redundancy in regional utilities and transportation networks</w:t>
      </w:r>
    </w:p>
    <w:p w:rsidR="00E56D46" w:rsidRPr="00E56D46" w:rsidRDefault="00E56D46" w:rsidP="00E56D46">
      <w:pPr>
        <w:pStyle w:val="ListParagraph"/>
        <w:numPr>
          <w:ilvl w:val="1"/>
          <w:numId w:val="17"/>
        </w:numPr>
        <w:ind w:left="2520"/>
        <w:jc w:val="both"/>
        <w:rPr>
          <w:rFonts w:ascii="Garamond" w:hAnsi="Garamond"/>
          <w:sz w:val="24"/>
          <w:szCs w:val="24"/>
        </w:rPr>
      </w:pPr>
      <w:r w:rsidRPr="00E56D46">
        <w:rPr>
          <w:rFonts w:ascii="Garamond" w:hAnsi="Garamond"/>
          <w:i/>
          <w:sz w:val="24"/>
          <w:szCs w:val="24"/>
        </w:rPr>
        <w:t>Providing planning materials for local jurisdictions and organization for prioritizing assets and risks by magnitude of importance</w:t>
      </w:r>
    </w:p>
    <w:p w:rsidR="00E56D46" w:rsidRPr="00E56D46" w:rsidRDefault="00E56D46" w:rsidP="00E56D46">
      <w:pPr>
        <w:pStyle w:val="ListParagraph"/>
        <w:numPr>
          <w:ilvl w:val="1"/>
          <w:numId w:val="17"/>
        </w:numPr>
        <w:ind w:left="2520"/>
        <w:jc w:val="both"/>
        <w:rPr>
          <w:rFonts w:ascii="Garamond" w:hAnsi="Garamond"/>
          <w:sz w:val="24"/>
          <w:szCs w:val="24"/>
        </w:rPr>
      </w:pPr>
      <w:r w:rsidRPr="00E56D46">
        <w:rPr>
          <w:rFonts w:ascii="Garamond" w:hAnsi="Garamond"/>
          <w:i/>
          <w:sz w:val="24"/>
          <w:szCs w:val="24"/>
        </w:rPr>
        <w:t>Increasing resilience and climate adaptation planning in all aspects of local planning</w:t>
      </w:r>
    </w:p>
    <w:p w:rsidR="00E56D46" w:rsidRPr="00E56D46" w:rsidRDefault="00E56D46" w:rsidP="00E56D46">
      <w:pPr>
        <w:pStyle w:val="ListParagraph"/>
        <w:numPr>
          <w:ilvl w:val="1"/>
          <w:numId w:val="17"/>
        </w:numPr>
        <w:ind w:left="2520"/>
        <w:jc w:val="both"/>
        <w:rPr>
          <w:rFonts w:ascii="Garamond" w:hAnsi="Garamond"/>
          <w:sz w:val="24"/>
          <w:szCs w:val="24"/>
        </w:rPr>
      </w:pPr>
      <w:r w:rsidRPr="00E56D46">
        <w:rPr>
          <w:rFonts w:ascii="Garamond" w:hAnsi="Garamond"/>
          <w:i/>
          <w:sz w:val="24"/>
          <w:szCs w:val="24"/>
        </w:rPr>
        <w:t>Instituting state-driven prioritized public infrastructure replacement planning</w:t>
      </w:r>
      <w:r w:rsidRPr="00E56D46">
        <w:rPr>
          <w:rFonts w:ascii="Garamond" w:hAnsi="Garamond"/>
          <w:sz w:val="24"/>
          <w:szCs w:val="24"/>
        </w:rPr>
        <w:t>; and</w:t>
      </w:r>
    </w:p>
    <w:p w:rsidR="00E56D46" w:rsidRPr="00E56D46" w:rsidRDefault="00E56D46" w:rsidP="00E56D46">
      <w:pPr>
        <w:pStyle w:val="ListParagraph"/>
        <w:numPr>
          <w:ilvl w:val="1"/>
          <w:numId w:val="17"/>
        </w:numPr>
        <w:ind w:left="2520"/>
        <w:jc w:val="both"/>
        <w:rPr>
          <w:rFonts w:ascii="Garamond" w:hAnsi="Garamond"/>
          <w:sz w:val="24"/>
          <w:szCs w:val="24"/>
        </w:rPr>
      </w:pPr>
      <w:r w:rsidRPr="00E56D46">
        <w:rPr>
          <w:rFonts w:ascii="Garamond" w:hAnsi="Garamond"/>
          <w:i/>
          <w:sz w:val="24"/>
          <w:szCs w:val="24"/>
        </w:rPr>
        <w:t>Assessing climate change effects on emergency response services</w:t>
      </w:r>
    </w:p>
    <w:p w:rsidR="00E56D46" w:rsidRPr="00E56D46" w:rsidRDefault="00E56D46" w:rsidP="00E56D46">
      <w:pPr>
        <w:pStyle w:val="ListParagraph"/>
        <w:ind w:left="2520"/>
        <w:jc w:val="both"/>
        <w:rPr>
          <w:rFonts w:ascii="Garamond" w:hAnsi="Garamond"/>
          <w:sz w:val="24"/>
          <w:szCs w:val="24"/>
        </w:rPr>
      </w:pPr>
    </w:p>
    <w:p w:rsidR="00E56D46" w:rsidRDefault="00E56D46" w:rsidP="00E56D46">
      <w:pPr>
        <w:pStyle w:val="ListParagraph"/>
        <w:numPr>
          <w:ilvl w:val="0"/>
          <w:numId w:val="17"/>
        </w:numPr>
        <w:ind w:left="1800"/>
        <w:jc w:val="both"/>
      </w:pPr>
      <w:r w:rsidRPr="00E56D46">
        <w:rPr>
          <w:rFonts w:ascii="Garamond" w:hAnsi="Garamond"/>
          <w:sz w:val="24"/>
          <w:szCs w:val="24"/>
        </w:rPr>
        <w:t>Finally, in regards to leveraging funds, we are aware that new mechanisms for raising funds may be needed; but we are also aware that some existing mechanisms are underutilized.  County-wide bonding has the potential to provide a means for funding large, regionally applicable and impactful projects.  In Maine it is rarely used for those purposes, but a November 2011 vote by Cumberland County residents to approve a $33 million bond to renovate the Cumberland County Civic Center proves that a regionally applicable project with well-publicized regional benefits can successfully be bonded.</w:t>
      </w:r>
    </w:p>
    <w:p w:rsidR="00EB6C3B" w:rsidRPr="00EB6C3B" w:rsidRDefault="00EB6C3B" w:rsidP="00EB6C3B">
      <w:pPr>
        <w:pStyle w:val="ListParagraph"/>
        <w:rPr>
          <w:rFonts w:ascii="Garamond" w:eastAsia="Times New Roman" w:hAnsi="Garamond" w:cs="Times New Roman"/>
          <w:b/>
          <w:bCs/>
          <w:color w:val="000000"/>
          <w:sz w:val="24"/>
          <w:szCs w:val="24"/>
        </w:rPr>
      </w:pPr>
    </w:p>
    <w:p w:rsidR="009245AE"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NEED TO AMEND THE COOPERATIVE AGREEMENT:</w:t>
      </w:r>
    </w:p>
    <w:tbl>
      <w:tblPr>
        <w:tblStyle w:val="TableGrid"/>
        <w:tblW w:w="0" w:type="auto"/>
        <w:tblInd w:w="1080" w:type="dxa"/>
        <w:tblLook w:val="04A0" w:firstRow="1" w:lastRow="0" w:firstColumn="1" w:lastColumn="0" w:noHBand="0" w:noVBand="1"/>
      </w:tblPr>
      <w:tblGrid>
        <w:gridCol w:w="2358"/>
        <w:gridCol w:w="1080"/>
        <w:gridCol w:w="5058"/>
      </w:tblGrid>
      <w:tr w:rsidR="009245AE" w:rsidRPr="00EB6C3B" w:rsidTr="009245AE">
        <w:tc>
          <w:tcPr>
            <w:tcW w:w="2358" w:type="dxa"/>
          </w:tcPr>
          <w:p w:rsidR="009245AE" w:rsidRPr="00EB6C3B" w:rsidRDefault="009245AE" w:rsidP="009245AE">
            <w:pPr>
              <w:rPr>
                <w:rFonts w:ascii="Garamond" w:hAnsi="Garamond" w:cstheme="minorHAnsi"/>
                <w:b/>
                <w:sz w:val="24"/>
                <w:szCs w:val="24"/>
                <w:u w:val="single"/>
              </w:rPr>
            </w:pPr>
          </w:p>
        </w:tc>
        <w:tc>
          <w:tcPr>
            <w:tcW w:w="1080" w:type="dxa"/>
          </w:tcPr>
          <w:p w:rsidR="009245AE" w:rsidRPr="00EB6C3B" w:rsidRDefault="009245AE" w:rsidP="009245AE">
            <w:pPr>
              <w:jc w:val="center"/>
              <w:rPr>
                <w:rFonts w:ascii="Garamond" w:hAnsi="Garamond" w:cstheme="minorHAnsi"/>
                <w:b/>
                <w:sz w:val="24"/>
                <w:szCs w:val="24"/>
              </w:rPr>
            </w:pPr>
            <w:r w:rsidRPr="00EB6C3B">
              <w:rPr>
                <w:rFonts w:ascii="Garamond" w:hAnsi="Garamond" w:cstheme="minorHAnsi"/>
                <w:b/>
                <w:sz w:val="24"/>
                <w:szCs w:val="24"/>
              </w:rPr>
              <w:t>Yes/No</w:t>
            </w:r>
          </w:p>
        </w:tc>
        <w:tc>
          <w:tcPr>
            <w:tcW w:w="5058" w:type="dxa"/>
          </w:tcPr>
          <w:p w:rsidR="009245AE" w:rsidRPr="00EB6C3B" w:rsidRDefault="009245AE" w:rsidP="009245AE">
            <w:pPr>
              <w:rPr>
                <w:rFonts w:ascii="Garamond" w:hAnsi="Garamond" w:cs="Times New Roman"/>
                <w:b/>
                <w:sz w:val="24"/>
                <w:szCs w:val="24"/>
              </w:rPr>
            </w:pPr>
            <w:r w:rsidRPr="00EB6C3B">
              <w:rPr>
                <w:rFonts w:ascii="Garamond" w:hAnsi="Garamond" w:cs="Times New Roman"/>
                <w:b/>
                <w:sz w:val="24"/>
                <w:szCs w:val="24"/>
              </w:rPr>
              <w:t>Explanation/Reason for Deviation</w:t>
            </w: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Scope</w:t>
            </w:r>
          </w:p>
        </w:tc>
        <w:tc>
          <w:tcPr>
            <w:tcW w:w="1080" w:type="dxa"/>
          </w:tcPr>
          <w:p w:rsidR="009245AE" w:rsidRPr="00DF3B27" w:rsidRDefault="00B661B2"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9245AE" w:rsidRPr="00DF3B27" w:rsidRDefault="009245AE" w:rsidP="00DF3B27">
            <w:pPr>
              <w:rPr>
                <w:rFonts w:ascii="Garamond" w:hAnsi="Garamond" w:cstheme="minorHAnsi"/>
                <w:b/>
                <w:sz w:val="24"/>
                <w:szCs w:val="24"/>
              </w:rPr>
            </w:pP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Schedule</w:t>
            </w:r>
          </w:p>
        </w:tc>
        <w:tc>
          <w:tcPr>
            <w:tcW w:w="1080" w:type="dxa"/>
          </w:tcPr>
          <w:p w:rsidR="009245AE" w:rsidRPr="00DF3B27" w:rsidRDefault="00B661B2"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9245AE" w:rsidRPr="00DF3B27" w:rsidRDefault="009245AE" w:rsidP="009245AE">
            <w:pPr>
              <w:rPr>
                <w:rFonts w:ascii="Garamond" w:hAnsi="Garamond" w:cstheme="minorHAnsi"/>
                <w:b/>
                <w:sz w:val="24"/>
                <w:szCs w:val="24"/>
              </w:rPr>
            </w:pP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Budget</w:t>
            </w:r>
          </w:p>
        </w:tc>
        <w:tc>
          <w:tcPr>
            <w:tcW w:w="1080" w:type="dxa"/>
          </w:tcPr>
          <w:p w:rsidR="009245AE" w:rsidRPr="00DF3B27" w:rsidRDefault="00B661B2"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9245AE" w:rsidRPr="00DF3B27" w:rsidRDefault="009245AE" w:rsidP="009245AE">
            <w:pPr>
              <w:rPr>
                <w:rFonts w:ascii="Garamond" w:hAnsi="Garamond" w:cstheme="minorHAnsi"/>
                <w:b/>
                <w:sz w:val="24"/>
                <w:szCs w:val="24"/>
              </w:rPr>
            </w:pP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Key Staff or AOR</w:t>
            </w:r>
          </w:p>
        </w:tc>
        <w:tc>
          <w:tcPr>
            <w:tcW w:w="1080" w:type="dxa"/>
          </w:tcPr>
          <w:p w:rsidR="009245AE" w:rsidRPr="00DF3B27" w:rsidRDefault="00B661B2" w:rsidP="009245AE">
            <w:pPr>
              <w:rPr>
                <w:rFonts w:ascii="Garamond" w:hAnsi="Garamond" w:cstheme="minorHAnsi"/>
                <w:b/>
                <w:sz w:val="24"/>
                <w:szCs w:val="24"/>
              </w:rPr>
            </w:pPr>
            <w:r>
              <w:rPr>
                <w:rFonts w:ascii="Garamond" w:hAnsi="Garamond" w:cstheme="minorHAnsi"/>
                <w:b/>
                <w:sz w:val="24"/>
                <w:szCs w:val="24"/>
              </w:rPr>
              <w:t>No</w:t>
            </w:r>
          </w:p>
        </w:tc>
        <w:tc>
          <w:tcPr>
            <w:tcW w:w="5058" w:type="dxa"/>
          </w:tcPr>
          <w:p w:rsidR="009245AE" w:rsidRPr="00DF3B27" w:rsidRDefault="009245AE" w:rsidP="009245AE">
            <w:pPr>
              <w:rPr>
                <w:rFonts w:ascii="Garamond" w:hAnsi="Garamond" w:cstheme="minorHAnsi"/>
                <w:b/>
                <w:sz w:val="24"/>
                <w:szCs w:val="24"/>
              </w:rPr>
            </w:pPr>
          </w:p>
        </w:tc>
      </w:tr>
    </w:tbl>
    <w:p w:rsidR="00DF3B27" w:rsidRDefault="00DF3B27" w:rsidP="009245AE">
      <w:pPr>
        <w:ind w:left="1080"/>
        <w:rPr>
          <w:rFonts w:ascii="Garamond" w:hAnsi="Garamond" w:cstheme="minorHAnsi"/>
          <w:b/>
          <w:sz w:val="24"/>
          <w:szCs w:val="24"/>
          <w:u w:val="single"/>
        </w:rPr>
      </w:pPr>
    </w:p>
    <w:p w:rsidR="00DF3B27" w:rsidRDefault="00DF3B27" w:rsidP="009245AE">
      <w:pPr>
        <w:ind w:left="1080"/>
        <w:rPr>
          <w:rFonts w:ascii="Garamond" w:hAnsi="Garamond" w:cstheme="minorHAnsi"/>
          <w:b/>
          <w:sz w:val="24"/>
          <w:szCs w:val="24"/>
          <w:u w:val="single"/>
        </w:rPr>
      </w:pPr>
    </w:p>
    <w:p w:rsidR="00DF3B27" w:rsidRPr="00EB6C3B" w:rsidRDefault="00DF3B27" w:rsidP="009245AE">
      <w:pPr>
        <w:ind w:left="1080"/>
        <w:rPr>
          <w:rFonts w:ascii="Garamond" w:hAnsi="Garamond" w:cstheme="minorHAnsi"/>
          <w:b/>
          <w:sz w:val="24"/>
          <w:szCs w:val="24"/>
          <w:u w:val="single"/>
        </w:rPr>
      </w:pPr>
    </w:p>
    <w:p w:rsidR="009245AE" w:rsidRPr="00EB6C3B" w:rsidRDefault="009245AE"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 xml:space="preserve">Need for Technical Assistance </w:t>
      </w:r>
    </w:p>
    <w:tbl>
      <w:tblPr>
        <w:tblStyle w:val="TableGrid"/>
        <w:tblW w:w="0" w:type="auto"/>
        <w:tblInd w:w="720" w:type="dxa"/>
        <w:tblLook w:val="04A0" w:firstRow="1" w:lastRow="0" w:firstColumn="1" w:lastColumn="0" w:noHBand="0" w:noVBand="1"/>
      </w:tblPr>
      <w:tblGrid>
        <w:gridCol w:w="8856"/>
      </w:tblGrid>
      <w:tr w:rsidR="00E50B85" w:rsidRPr="00EB6C3B" w:rsidTr="00657944">
        <w:trPr>
          <w:trHeight w:val="4373"/>
        </w:trPr>
        <w:tc>
          <w:tcPr>
            <w:tcW w:w="9576" w:type="dxa"/>
          </w:tcPr>
          <w:p w:rsidR="00E50B85" w:rsidRPr="00B661B2" w:rsidRDefault="00E50B85" w:rsidP="00E84735">
            <w:pPr>
              <w:rPr>
                <w:rFonts w:ascii="Garamond" w:hAnsi="Garamond" w:cstheme="minorHAnsi"/>
                <w:sz w:val="24"/>
                <w:szCs w:val="24"/>
              </w:rPr>
            </w:pPr>
          </w:p>
          <w:p w:rsidR="00701332" w:rsidRPr="00B661B2" w:rsidRDefault="00B661B2" w:rsidP="00701332">
            <w:pPr>
              <w:rPr>
                <w:rFonts w:ascii="Garamond" w:hAnsi="Garamond" w:cstheme="minorHAnsi"/>
                <w:b/>
                <w:sz w:val="24"/>
                <w:szCs w:val="24"/>
                <w:u w:val="single"/>
              </w:rPr>
            </w:pPr>
            <w:r w:rsidRPr="00B661B2">
              <w:rPr>
                <w:rFonts w:ascii="Garamond" w:hAnsi="Garamond" w:cstheme="minorHAnsi"/>
                <w:b/>
                <w:sz w:val="24"/>
                <w:szCs w:val="24"/>
                <w:u w:val="single"/>
              </w:rPr>
              <w:t>Additional Narrative:</w:t>
            </w:r>
          </w:p>
          <w:p w:rsidR="00B661B2" w:rsidRPr="00B661B2" w:rsidRDefault="00B661B2" w:rsidP="00B661B2">
            <w:pPr>
              <w:jc w:val="both"/>
              <w:rPr>
                <w:rFonts w:ascii="Garamond" w:hAnsi="Garamond"/>
                <w:sz w:val="24"/>
                <w:szCs w:val="24"/>
              </w:rPr>
            </w:pPr>
            <w:r w:rsidRPr="00B661B2">
              <w:rPr>
                <w:rFonts w:ascii="Garamond" w:hAnsi="Garamond"/>
                <w:b/>
                <w:sz w:val="24"/>
                <w:szCs w:val="24"/>
              </w:rPr>
              <w:t>How did the federal partnership support or advance the planni</w:t>
            </w:r>
            <w:r w:rsidRPr="00B661B2">
              <w:rPr>
                <w:rFonts w:ascii="Garamond" w:hAnsi="Garamond"/>
                <w:b/>
                <w:sz w:val="24"/>
                <w:szCs w:val="24"/>
              </w:rPr>
              <w:t>ng effort</w:t>
            </w:r>
          </w:p>
          <w:p w:rsidR="00B661B2" w:rsidRPr="00B661B2" w:rsidRDefault="00B661B2" w:rsidP="00B661B2">
            <w:pPr>
              <w:jc w:val="both"/>
              <w:rPr>
                <w:rFonts w:ascii="Garamond" w:hAnsi="Garamond"/>
                <w:sz w:val="24"/>
                <w:szCs w:val="24"/>
              </w:rPr>
            </w:pPr>
            <w:r w:rsidRPr="00B661B2">
              <w:rPr>
                <w:rFonts w:ascii="Garamond" w:hAnsi="Garamond"/>
                <w:sz w:val="24"/>
                <w:szCs w:val="24"/>
              </w:rPr>
              <w:t>The federal partnership supported our planning efforts in two ways.  The first was as a model to our own Partners.  Collaboration across large agencies, in particular, can be challenging.  The federal government’s willingness to make the effort, as well as programmatic changes that resulted from the effort, demonstrated that state and local institutions could do the same.</w:t>
            </w:r>
          </w:p>
          <w:p w:rsidR="00B661B2" w:rsidRPr="00B661B2" w:rsidRDefault="00B661B2" w:rsidP="00B661B2">
            <w:pPr>
              <w:jc w:val="both"/>
              <w:rPr>
                <w:rFonts w:ascii="Garamond" w:hAnsi="Garamond"/>
                <w:sz w:val="24"/>
                <w:szCs w:val="24"/>
              </w:rPr>
            </w:pPr>
          </w:p>
          <w:p w:rsidR="00B661B2" w:rsidRPr="00B661B2" w:rsidRDefault="00B661B2" w:rsidP="00B661B2">
            <w:pPr>
              <w:jc w:val="both"/>
              <w:rPr>
                <w:rFonts w:ascii="Garamond" w:hAnsi="Garamond"/>
                <w:sz w:val="24"/>
                <w:szCs w:val="24"/>
              </w:rPr>
            </w:pPr>
            <w:r w:rsidRPr="00B661B2">
              <w:rPr>
                <w:rFonts w:ascii="Garamond" w:hAnsi="Garamond"/>
                <w:sz w:val="24"/>
                <w:szCs w:val="24"/>
              </w:rPr>
              <w:t>The second way was in providing capacity building opportunities.  Sustain Southern Maine and its Partners have taken advantage of three particular opportunities.  The first was to attend the Sustainable Communities Leadership Academy in Baltimore, Maryland put on by the Institute for Sustainable Communities.  Attending the Academy resulted in two key outcomes.  The first, it solidified Mobilize Maine (of which the Executive Director attended the Academy) as a Partner.  The partnership with Mobilize Maine has become one of, if not the most, successful partnership between Sustain Southern Maine and one of its Partners.  It is successful in that Mobilize Maine has become a champion of Sustain Southern Maine as well as has actively and successfully worked to implement the work of Sustain Southern Maine.  The second outcome of the Academy was to help Sustain Southern Maine more clearly articulate it goals, the strengths of the region that can be leveraged, and the critical challenges of the region to be addressed.</w:t>
            </w:r>
          </w:p>
          <w:p w:rsidR="00B661B2" w:rsidRPr="00B661B2" w:rsidRDefault="00B661B2" w:rsidP="00B661B2">
            <w:pPr>
              <w:jc w:val="both"/>
              <w:rPr>
                <w:rFonts w:ascii="Garamond" w:hAnsi="Garamond"/>
                <w:sz w:val="24"/>
                <w:szCs w:val="24"/>
              </w:rPr>
            </w:pPr>
          </w:p>
          <w:p w:rsidR="00B661B2" w:rsidRPr="00B661B2" w:rsidRDefault="00B661B2" w:rsidP="00B661B2">
            <w:pPr>
              <w:jc w:val="both"/>
              <w:rPr>
                <w:rFonts w:ascii="Garamond" w:hAnsi="Garamond"/>
                <w:sz w:val="24"/>
                <w:szCs w:val="24"/>
              </w:rPr>
            </w:pPr>
            <w:r w:rsidRPr="00B661B2">
              <w:rPr>
                <w:rFonts w:ascii="Garamond" w:hAnsi="Garamond"/>
                <w:sz w:val="24"/>
                <w:szCs w:val="24"/>
              </w:rPr>
              <w:t>The second capacity building opportunity that we took advantage of was having Smart Growth America come and train the Sustain Southern Maine Executive Committee and Partners on how to manage difficult people within the context of our work.  The need for the training was evident from the turn out in attendance.  We received positive feedback regarding the training, especially in terms of allaying fears of how to address people who are skeptical or oppose our work.</w:t>
            </w:r>
          </w:p>
          <w:p w:rsidR="00B661B2" w:rsidRPr="00B661B2" w:rsidRDefault="00B661B2" w:rsidP="00B661B2">
            <w:pPr>
              <w:jc w:val="both"/>
              <w:rPr>
                <w:rFonts w:ascii="Garamond" w:hAnsi="Garamond"/>
                <w:sz w:val="24"/>
                <w:szCs w:val="24"/>
              </w:rPr>
            </w:pPr>
          </w:p>
          <w:p w:rsidR="00B661B2" w:rsidRPr="00B661B2" w:rsidRDefault="00B661B2" w:rsidP="00B661B2">
            <w:pPr>
              <w:jc w:val="both"/>
              <w:rPr>
                <w:rFonts w:ascii="Garamond" w:hAnsi="Garamond"/>
                <w:sz w:val="24"/>
                <w:szCs w:val="24"/>
              </w:rPr>
            </w:pPr>
            <w:r w:rsidRPr="00B661B2">
              <w:rPr>
                <w:rFonts w:ascii="Garamond" w:hAnsi="Garamond"/>
                <w:sz w:val="24"/>
                <w:szCs w:val="24"/>
              </w:rPr>
              <w:t>Finally, the third capacity building opportunity we have taken advantage of is the Sustainable Communities Learning Network’s clearinghouse of resources.  One of the greatest values of the resources is the breadth that is available in one location and their responsiveness to grantees’ needs.  It has enabled Sustain Southern Maine to distribute resources to all of our diverse Partners.</w:t>
            </w:r>
          </w:p>
          <w:p w:rsidR="00B661B2" w:rsidRPr="00B661B2" w:rsidRDefault="00B661B2" w:rsidP="00B661B2">
            <w:pPr>
              <w:jc w:val="both"/>
              <w:rPr>
                <w:rFonts w:ascii="Garamond" w:hAnsi="Garamond"/>
                <w:sz w:val="24"/>
                <w:szCs w:val="24"/>
              </w:rPr>
            </w:pPr>
          </w:p>
          <w:p w:rsidR="00B661B2" w:rsidRPr="00B661B2" w:rsidRDefault="00B661B2" w:rsidP="00B661B2">
            <w:pPr>
              <w:jc w:val="both"/>
              <w:rPr>
                <w:rFonts w:ascii="Garamond" w:hAnsi="Garamond"/>
                <w:sz w:val="24"/>
                <w:szCs w:val="24"/>
              </w:rPr>
            </w:pPr>
            <w:r w:rsidRPr="00B661B2">
              <w:rPr>
                <w:rFonts w:ascii="Garamond" w:hAnsi="Garamond"/>
                <w:b/>
                <w:sz w:val="24"/>
                <w:szCs w:val="24"/>
              </w:rPr>
              <w:t>What do you think it will need to succeed in effective implementation of the plan (if money, be specific)</w:t>
            </w:r>
          </w:p>
          <w:p w:rsidR="00B661B2" w:rsidRPr="00B661B2" w:rsidRDefault="00B661B2" w:rsidP="00B661B2">
            <w:pPr>
              <w:jc w:val="both"/>
              <w:rPr>
                <w:rFonts w:ascii="Garamond" w:hAnsi="Garamond"/>
                <w:sz w:val="24"/>
                <w:szCs w:val="24"/>
              </w:rPr>
            </w:pPr>
            <w:r w:rsidRPr="00B661B2">
              <w:rPr>
                <w:rFonts w:ascii="Garamond" w:hAnsi="Garamond"/>
                <w:sz w:val="24"/>
                <w:szCs w:val="24"/>
              </w:rPr>
              <w:t>There are 6 areas which we are necessary for success:</w:t>
            </w:r>
          </w:p>
          <w:p w:rsidR="00B661B2" w:rsidRPr="00B661B2" w:rsidRDefault="00B661B2" w:rsidP="00B661B2">
            <w:pPr>
              <w:pStyle w:val="ListParagraph"/>
              <w:numPr>
                <w:ilvl w:val="0"/>
                <w:numId w:val="18"/>
              </w:numPr>
              <w:jc w:val="both"/>
              <w:rPr>
                <w:rFonts w:ascii="Garamond" w:hAnsi="Garamond"/>
                <w:sz w:val="24"/>
                <w:szCs w:val="24"/>
              </w:rPr>
            </w:pPr>
            <w:r w:rsidRPr="00B661B2">
              <w:rPr>
                <w:rFonts w:ascii="Garamond" w:hAnsi="Garamond"/>
                <w:sz w:val="24"/>
                <w:szCs w:val="24"/>
              </w:rPr>
              <w:t>Partnership</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As noted under lessons learned above, continued Partnership will be key.  It offers a way out of our silos, bringing different viewpoints to any discussion that can provide new perspective on how to address a given issue.  It expands our networks and thus support for initiatives; and new opportunities for leveraging resources.</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numPr>
                <w:ilvl w:val="0"/>
                <w:numId w:val="18"/>
              </w:numPr>
              <w:jc w:val="both"/>
              <w:rPr>
                <w:rFonts w:ascii="Garamond" w:hAnsi="Garamond"/>
                <w:sz w:val="24"/>
                <w:szCs w:val="24"/>
              </w:rPr>
            </w:pPr>
            <w:r w:rsidRPr="00B661B2">
              <w:rPr>
                <w:rFonts w:ascii="Garamond" w:hAnsi="Garamond"/>
                <w:sz w:val="24"/>
                <w:szCs w:val="24"/>
              </w:rPr>
              <w:t>Leadership</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lastRenderedPageBreak/>
              <w:t>Also from our lessons learned, leadership within the Partners and by decision makers will also be necessary.</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numPr>
                <w:ilvl w:val="0"/>
                <w:numId w:val="18"/>
              </w:numPr>
              <w:jc w:val="both"/>
              <w:rPr>
                <w:rFonts w:ascii="Garamond" w:hAnsi="Garamond"/>
                <w:sz w:val="24"/>
                <w:szCs w:val="24"/>
              </w:rPr>
            </w:pPr>
            <w:r w:rsidRPr="00B661B2">
              <w:rPr>
                <w:rFonts w:ascii="Garamond" w:hAnsi="Garamond"/>
                <w:sz w:val="24"/>
                <w:szCs w:val="24"/>
              </w:rPr>
              <w:t>Champions</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And whether they overlap with leaders, the initiative will always need champions.  Currently the initiative has relied heavily upon staff to lead and be its champions.  Clearly, for long term success we will need others outside GPCOG to believe in and voice their belief in the initiative.</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numPr>
                <w:ilvl w:val="0"/>
                <w:numId w:val="18"/>
              </w:numPr>
              <w:jc w:val="both"/>
              <w:rPr>
                <w:rFonts w:ascii="Garamond" w:hAnsi="Garamond"/>
                <w:sz w:val="24"/>
                <w:szCs w:val="24"/>
              </w:rPr>
            </w:pPr>
            <w:r w:rsidRPr="00B661B2">
              <w:rPr>
                <w:rFonts w:ascii="Garamond" w:hAnsi="Garamond"/>
                <w:sz w:val="24"/>
                <w:szCs w:val="24"/>
              </w:rPr>
              <w:t>Successes</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For long-term success, it will be critical that we have short-term successes within the first year of implementation.  These successes are needed to show that we can indeed do the things we’ve identified as necessary to achieve regional prosperity.</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numPr>
                <w:ilvl w:val="0"/>
                <w:numId w:val="18"/>
              </w:numPr>
              <w:jc w:val="both"/>
              <w:rPr>
                <w:rFonts w:ascii="Garamond" w:hAnsi="Garamond"/>
                <w:sz w:val="24"/>
                <w:szCs w:val="24"/>
              </w:rPr>
            </w:pPr>
            <w:r w:rsidRPr="00B661B2">
              <w:rPr>
                <w:rFonts w:ascii="Garamond" w:hAnsi="Garamond"/>
                <w:sz w:val="24"/>
                <w:szCs w:val="24"/>
              </w:rPr>
              <w:t>Staff</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There has been some debate about whether Sustain Southern Maine will continue to need project staff, or at least one staffer to oversee it moving forward.  It is GPCOG’s belief that the initiative will not move forward without someone being charged with (and paid) to ensure that it keeps moving.  The greatest proof of the need for at least one staffer is the failure of the Gateway 1 project.  Gateway 1 was a multi-million dollar corridor planning project covering 21 municipalities funded and facilitated by the Maine Department of Transportation.  After the election of the current governor the project was terminated.  Participating municipalities had hoped to keep the project alive without the project staff provided by MDOT, but without someone to coordinate, track, and facilitate progress the project fell by the wayside.</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numPr>
                <w:ilvl w:val="0"/>
                <w:numId w:val="18"/>
              </w:numPr>
              <w:jc w:val="both"/>
              <w:rPr>
                <w:rFonts w:ascii="Garamond" w:hAnsi="Garamond"/>
                <w:sz w:val="24"/>
                <w:szCs w:val="24"/>
              </w:rPr>
            </w:pPr>
            <w:r w:rsidRPr="00B661B2">
              <w:rPr>
                <w:rFonts w:ascii="Garamond" w:hAnsi="Garamond"/>
                <w:sz w:val="24"/>
                <w:szCs w:val="24"/>
              </w:rPr>
              <w:t>Money</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And of course, we will need funding for implementation.  It’s a little challenging to be specific, as everything will require resources.  Our priorities generally fall into 6 categories, and it would seem that having funding opportunities that parallel these would be helpful: community advocacy and education; improved processes, policies, and regulations; programs and services; capital improvements; planning; and research, data, and tools.  With limited federal resources we would encourage federal (and state) government to prioritize funding for proposals that are part of sustainable regional plans.</w:t>
            </w:r>
          </w:p>
          <w:p w:rsidR="00B661B2" w:rsidRPr="00B661B2" w:rsidRDefault="00B661B2" w:rsidP="00B661B2">
            <w:pPr>
              <w:jc w:val="both"/>
              <w:rPr>
                <w:rFonts w:ascii="Garamond" w:hAnsi="Garamond"/>
                <w:sz w:val="24"/>
                <w:szCs w:val="24"/>
              </w:rPr>
            </w:pPr>
          </w:p>
          <w:p w:rsidR="00B661B2" w:rsidRPr="00B661B2" w:rsidRDefault="00B661B2" w:rsidP="00B661B2">
            <w:pPr>
              <w:jc w:val="both"/>
              <w:rPr>
                <w:rFonts w:ascii="Garamond" w:hAnsi="Garamond"/>
                <w:sz w:val="24"/>
                <w:szCs w:val="24"/>
              </w:rPr>
            </w:pPr>
            <w:r w:rsidRPr="00B661B2">
              <w:rPr>
                <w:rFonts w:ascii="Garamond" w:hAnsi="Garamond"/>
                <w:b/>
                <w:sz w:val="24"/>
                <w:szCs w:val="24"/>
              </w:rPr>
              <w:t>What are key milestones that should be tracked as your plan moves to implementation?</w:t>
            </w:r>
          </w:p>
          <w:p w:rsidR="00B661B2" w:rsidRPr="00B661B2" w:rsidRDefault="00B661B2" w:rsidP="00B661B2">
            <w:pPr>
              <w:jc w:val="both"/>
              <w:rPr>
                <w:rFonts w:ascii="Garamond" w:hAnsi="Garamond"/>
                <w:sz w:val="24"/>
                <w:szCs w:val="24"/>
              </w:rPr>
            </w:pPr>
            <w:r w:rsidRPr="00B661B2">
              <w:rPr>
                <w:rFonts w:ascii="Garamond" w:hAnsi="Garamond"/>
                <w:sz w:val="24"/>
                <w:szCs w:val="24"/>
              </w:rPr>
              <w:t>The key milestones are linked to the things we need to successfully implement our priorities:</w:t>
            </w:r>
          </w:p>
          <w:p w:rsidR="00B661B2" w:rsidRPr="00B661B2" w:rsidRDefault="00B661B2" w:rsidP="00B661B2">
            <w:pPr>
              <w:pStyle w:val="ListParagraph"/>
              <w:numPr>
                <w:ilvl w:val="0"/>
                <w:numId w:val="19"/>
              </w:numPr>
              <w:jc w:val="both"/>
              <w:rPr>
                <w:rFonts w:ascii="Garamond" w:hAnsi="Garamond"/>
                <w:sz w:val="24"/>
                <w:szCs w:val="24"/>
              </w:rPr>
            </w:pPr>
            <w:r w:rsidRPr="00B661B2">
              <w:rPr>
                <w:rFonts w:ascii="Garamond" w:hAnsi="Garamond"/>
                <w:sz w:val="24"/>
                <w:szCs w:val="24"/>
              </w:rPr>
              <w:t>Partners</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To begin, now that the grant is completed, it will be key just to keep existing Partners committed and engaged.  Once the existing Partnership is ensured, then we can begin identifying who else is necessary to successfully implement – this will have to include private sector and philanthropic interests.</w:t>
            </w:r>
          </w:p>
          <w:p w:rsidR="00B661B2" w:rsidRPr="00B661B2" w:rsidRDefault="00B661B2" w:rsidP="00B661B2">
            <w:pPr>
              <w:pStyle w:val="ListParagraph"/>
              <w:numPr>
                <w:ilvl w:val="0"/>
                <w:numId w:val="19"/>
              </w:numPr>
              <w:jc w:val="both"/>
              <w:rPr>
                <w:rFonts w:ascii="Garamond" w:hAnsi="Garamond"/>
                <w:sz w:val="24"/>
                <w:szCs w:val="24"/>
              </w:rPr>
            </w:pPr>
            <w:r w:rsidRPr="00B661B2">
              <w:rPr>
                <w:rFonts w:ascii="Garamond" w:hAnsi="Garamond"/>
                <w:sz w:val="24"/>
                <w:szCs w:val="24"/>
              </w:rPr>
              <w:lastRenderedPageBreak/>
              <w:t>Short-Term Wins</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Even if only a few, we will need to be able to point to successes at the end of our first year of implementation.</w:t>
            </w:r>
          </w:p>
          <w:p w:rsidR="00B661B2" w:rsidRPr="00B661B2" w:rsidRDefault="00B661B2" w:rsidP="00B661B2">
            <w:pPr>
              <w:pStyle w:val="ListParagraph"/>
              <w:numPr>
                <w:ilvl w:val="0"/>
                <w:numId w:val="19"/>
              </w:numPr>
              <w:jc w:val="both"/>
              <w:rPr>
                <w:rFonts w:ascii="Garamond" w:hAnsi="Garamond"/>
                <w:sz w:val="24"/>
                <w:szCs w:val="24"/>
              </w:rPr>
            </w:pPr>
            <w:r w:rsidRPr="00B661B2">
              <w:rPr>
                <w:rFonts w:ascii="Garamond" w:hAnsi="Garamond"/>
                <w:sz w:val="24"/>
                <w:szCs w:val="24"/>
              </w:rPr>
              <w:t>Longer-term Priorities</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At the same time, we will also need to be able to demonstrate that longer-term priorities have been initiated.</w:t>
            </w:r>
          </w:p>
          <w:p w:rsidR="00E50B85" w:rsidRPr="00B661B2" w:rsidRDefault="00E50B85" w:rsidP="00E84735">
            <w:pPr>
              <w:rPr>
                <w:rFonts w:ascii="Garamond" w:hAnsi="Garamond" w:cstheme="minorHAnsi"/>
                <w:sz w:val="24"/>
                <w:szCs w:val="24"/>
              </w:rPr>
            </w:pPr>
          </w:p>
          <w:p w:rsidR="00B661B2" w:rsidRPr="00B661B2" w:rsidRDefault="00B661B2" w:rsidP="00B661B2">
            <w:pPr>
              <w:jc w:val="both"/>
              <w:rPr>
                <w:rFonts w:ascii="Garamond" w:hAnsi="Garamond"/>
                <w:sz w:val="24"/>
                <w:szCs w:val="24"/>
              </w:rPr>
            </w:pPr>
            <w:r w:rsidRPr="00B661B2">
              <w:rPr>
                <w:rFonts w:ascii="Garamond" w:hAnsi="Garamond"/>
                <w:b/>
                <w:sz w:val="24"/>
                <w:szCs w:val="24"/>
              </w:rPr>
              <w:t>Compelling stories that encapsulate the work</w:t>
            </w:r>
          </w:p>
          <w:p w:rsidR="00B661B2" w:rsidRDefault="00B661B2" w:rsidP="00B661B2">
            <w:pPr>
              <w:jc w:val="both"/>
              <w:rPr>
                <w:rFonts w:ascii="Garamond" w:hAnsi="Garamond"/>
                <w:sz w:val="24"/>
                <w:szCs w:val="24"/>
              </w:rPr>
            </w:pPr>
            <w:r w:rsidRPr="00B661B2">
              <w:rPr>
                <w:rFonts w:ascii="Garamond" w:hAnsi="Garamond"/>
                <w:sz w:val="24"/>
                <w:szCs w:val="24"/>
              </w:rPr>
              <w:t>The stories that stand out are the “ah-ha” moments, those moments of realization, connection, and relationship.  They are incredibly gratifying for those doing th</w:t>
            </w:r>
            <w:r w:rsidR="00CE653A">
              <w:rPr>
                <w:rFonts w:ascii="Garamond" w:hAnsi="Garamond"/>
                <w:sz w:val="24"/>
                <w:szCs w:val="24"/>
              </w:rPr>
              <w:t>e work as they signify impact.</w:t>
            </w:r>
          </w:p>
          <w:p w:rsidR="00B661B2" w:rsidRPr="00B661B2" w:rsidRDefault="00B661B2" w:rsidP="00B661B2">
            <w:pPr>
              <w:jc w:val="both"/>
              <w:rPr>
                <w:rFonts w:ascii="Garamond" w:hAnsi="Garamond"/>
                <w:sz w:val="24"/>
                <w:szCs w:val="24"/>
              </w:rPr>
            </w:pPr>
            <w:r w:rsidRPr="00B661B2">
              <w:rPr>
                <w:rFonts w:ascii="Garamond" w:hAnsi="Garamond"/>
                <w:sz w:val="24"/>
                <w:szCs w:val="24"/>
              </w:rPr>
              <w:t xml:space="preserve"> </w:t>
            </w:r>
          </w:p>
          <w:p w:rsidR="00B661B2" w:rsidRPr="00B661B2" w:rsidRDefault="00B661B2" w:rsidP="00B661B2">
            <w:pPr>
              <w:pStyle w:val="ListParagraph"/>
              <w:numPr>
                <w:ilvl w:val="0"/>
                <w:numId w:val="20"/>
              </w:numPr>
              <w:jc w:val="both"/>
              <w:rPr>
                <w:rFonts w:ascii="Garamond" w:hAnsi="Garamond"/>
                <w:sz w:val="24"/>
                <w:szCs w:val="24"/>
              </w:rPr>
            </w:pPr>
            <w:r w:rsidRPr="00B661B2">
              <w:rPr>
                <w:rFonts w:ascii="Garamond" w:hAnsi="Garamond"/>
                <w:sz w:val="24"/>
                <w:szCs w:val="24"/>
              </w:rPr>
              <w:t>Mark Ouellette, Executive Director, Mobilize Maine</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Fourteen months into the planning grant we were offered the opportunity to assemble a team to attend a Sustainable Communities Leadership Academy in Baltimore, Maryland put on by the Institute for Sustainable Communities.  At the time, the Partnership had little representation from the economic development community, and the Academy offered the opportunity to try and bring someone in.  Mark Ouellette, Executive Director of the still relatively new Mobilize Maine initiative</w:t>
            </w:r>
            <w:r w:rsidR="00CE653A">
              <w:rPr>
                <w:rFonts w:ascii="Garamond" w:hAnsi="Garamond"/>
                <w:sz w:val="24"/>
                <w:szCs w:val="24"/>
              </w:rPr>
              <w:t xml:space="preserve"> was approached about attending</w:t>
            </w:r>
            <w:r w:rsidRPr="00B661B2">
              <w:rPr>
                <w:rFonts w:ascii="Garamond" w:hAnsi="Garamond"/>
                <w:sz w:val="24"/>
                <w:szCs w:val="24"/>
              </w:rPr>
              <w:t>.  Mobilize Maine is a statewide economic development initiative carried out through each the state’s Economic Development Districts.  Prior to his position with Mobilize Maine, Mark had been the Director of the state’s Department of Economic and Community Development.  He had been steeped in economic development for a number of years.</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 xml:space="preserve">Mark </w:t>
            </w:r>
            <w:r w:rsidR="00CE653A">
              <w:rPr>
                <w:rFonts w:ascii="Garamond" w:hAnsi="Garamond"/>
                <w:sz w:val="24"/>
                <w:szCs w:val="24"/>
              </w:rPr>
              <w:t>agreed to attend the Academy, even though he wasn’t sure what the Sustain Southern Maine initiative had to do with economic development</w:t>
            </w:r>
            <w:r w:rsidRPr="00B661B2">
              <w:rPr>
                <w:rFonts w:ascii="Garamond" w:hAnsi="Garamond"/>
                <w:sz w:val="24"/>
                <w:szCs w:val="24"/>
              </w:rPr>
              <w:t xml:space="preserve">  </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 xml:space="preserve">Though he may have been skeptical, </w:t>
            </w:r>
            <w:r w:rsidR="00CE653A">
              <w:rPr>
                <w:rFonts w:ascii="Garamond" w:hAnsi="Garamond"/>
                <w:sz w:val="24"/>
                <w:szCs w:val="24"/>
              </w:rPr>
              <w:t xml:space="preserve">at the Academy </w:t>
            </w:r>
            <w:r w:rsidRPr="00B661B2">
              <w:rPr>
                <w:rFonts w:ascii="Garamond" w:hAnsi="Garamond"/>
                <w:sz w:val="24"/>
                <w:szCs w:val="24"/>
              </w:rPr>
              <w:t>he dove right in and</w:t>
            </w:r>
            <w:r w:rsidR="00CE653A">
              <w:rPr>
                <w:rFonts w:ascii="Garamond" w:hAnsi="Garamond"/>
                <w:sz w:val="24"/>
                <w:szCs w:val="24"/>
              </w:rPr>
              <w:t xml:space="preserve"> fully engaged</w:t>
            </w:r>
            <w:r w:rsidRPr="00B661B2">
              <w:rPr>
                <w:rFonts w:ascii="Garamond" w:hAnsi="Garamond"/>
                <w:sz w:val="24"/>
                <w:szCs w:val="24"/>
              </w:rPr>
              <w:t>.  On our last day as we were debriefing he shared that he “got it.”  He had made the connection between what we</w:t>
            </w:r>
            <w:r w:rsidR="00CE653A">
              <w:rPr>
                <w:rFonts w:ascii="Garamond" w:hAnsi="Garamond"/>
                <w:sz w:val="24"/>
                <w:szCs w:val="24"/>
              </w:rPr>
              <w:t>’</w:t>
            </w:r>
            <w:r w:rsidRPr="00B661B2">
              <w:rPr>
                <w:rFonts w:ascii="Garamond" w:hAnsi="Garamond"/>
                <w:sz w:val="24"/>
                <w:szCs w:val="24"/>
              </w:rPr>
              <w:t>re talking about in regards to sustainability and how economic development is a part of that discussion.  Specifically, he noted what enabled the connection was that the presenters at the conference were speaking his language – economic development is sustainability and vice versa.  It all clicked.  Mobilize Maine joined the Partnership and Mark has been instrumental in weaving the work of Sustain Southern Maine into Mobilize Maine.  Mobilize Maine has addressed energy issues, New Mainers, and local agriculture, just to name a few.</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numPr>
                <w:ilvl w:val="0"/>
                <w:numId w:val="20"/>
              </w:numPr>
              <w:jc w:val="both"/>
              <w:rPr>
                <w:rFonts w:ascii="Garamond" w:hAnsi="Garamond"/>
                <w:sz w:val="24"/>
                <w:szCs w:val="24"/>
              </w:rPr>
            </w:pPr>
            <w:r w:rsidRPr="00B661B2">
              <w:rPr>
                <w:rFonts w:ascii="Garamond" w:hAnsi="Garamond"/>
                <w:sz w:val="24"/>
                <w:szCs w:val="24"/>
              </w:rPr>
              <w:t xml:space="preserve">Knowledge Sharing Session: The Local Food Movement and How It Affects Southern Maine’s Economy </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 xml:space="preserve">After a panelist presentation focusing on new initiatives planning for local food resiliency, the viability of agricultural production in Maine, food processing, and hunger, the floor was opened up for questions and discussion between panelists and attendees.  Towards the end, the issue of food security was raised highlighting our </w:t>
            </w:r>
            <w:r w:rsidRPr="00B661B2">
              <w:rPr>
                <w:rFonts w:ascii="Garamond" w:hAnsi="Garamond"/>
                <w:sz w:val="24"/>
                <w:szCs w:val="24"/>
              </w:rPr>
              <w:lastRenderedPageBreak/>
              <w:t>limited supply chain.  A factor in this is our antiquated transportation infrastructure.  It was during this discussion that a member of the agricultural community attending the se</w:t>
            </w:r>
            <w:r w:rsidR="00CE653A">
              <w:rPr>
                <w:rFonts w:ascii="Garamond" w:hAnsi="Garamond"/>
                <w:sz w:val="24"/>
                <w:szCs w:val="24"/>
              </w:rPr>
              <w:t>ssion commented shared that they had just come to the realization that the</w:t>
            </w:r>
            <w:r w:rsidRPr="00B661B2">
              <w:rPr>
                <w:rFonts w:ascii="Garamond" w:hAnsi="Garamond"/>
                <w:sz w:val="24"/>
                <w:szCs w:val="24"/>
              </w:rPr>
              <w:t xml:space="preserve"> ag</w:t>
            </w:r>
            <w:r w:rsidR="00CE653A">
              <w:rPr>
                <w:rFonts w:ascii="Garamond" w:hAnsi="Garamond"/>
                <w:sz w:val="24"/>
                <w:szCs w:val="24"/>
              </w:rPr>
              <w:t>ricultural</w:t>
            </w:r>
            <w:r w:rsidRPr="00B661B2">
              <w:rPr>
                <w:rFonts w:ascii="Garamond" w:hAnsi="Garamond"/>
                <w:sz w:val="24"/>
                <w:szCs w:val="24"/>
              </w:rPr>
              <w:t xml:space="preserve"> community should be lobbying for improvements to the transportation network and providing support to the transportation community.  </w:t>
            </w:r>
            <w:r w:rsidR="00CE653A">
              <w:rPr>
                <w:rFonts w:ascii="Garamond" w:hAnsi="Garamond"/>
                <w:sz w:val="24"/>
                <w:szCs w:val="24"/>
              </w:rPr>
              <w:t>This type of cross-sector leveraging for shared needs is one of the greatest strengths of the Partnership.</w:t>
            </w:r>
          </w:p>
          <w:p w:rsidR="00B661B2" w:rsidRPr="00B661B2" w:rsidRDefault="00B661B2" w:rsidP="00B661B2">
            <w:pPr>
              <w:pStyle w:val="ListParagraph"/>
              <w:jc w:val="both"/>
              <w:rPr>
                <w:rFonts w:ascii="Garamond" w:hAnsi="Garamond"/>
                <w:sz w:val="24"/>
                <w:szCs w:val="24"/>
              </w:rPr>
            </w:pPr>
          </w:p>
          <w:p w:rsidR="00B661B2" w:rsidRPr="00B661B2" w:rsidRDefault="00B661B2" w:rsidP="00B661B2">
            <w:pPr>
              <w:pStyle w:val="ListParagraph"/>
              <w:numPr>
                <w:ilvl w:val="0"/>
                <w:numId w:val="20"/>
              </w:numPr>
              <w:jc w:val="both"/>
              <w:rPr>
                <w:rFonts w:ascii="Garamond" w:hAnsi="Garamond"/>
                <w:sz w:val="24"/>
                <w:szCs w:val="24"/>
              </w:rPr>
            </w:pPr>
            <w:r w:rsidRPr="00B661B2">
              <w:rPr>
                <w:rFonts w:ascii="Garamond" w:hAnsi="Garamond"/>
                <w:sz w:val="24"/>
                <w:szCs w:val="24"/>
              </w:rPr>
              <w:t>Steep Falls Center of Opportunity Public Meeting</w:t>
            </w:r>
          </w:p>
          <w:p w:rsidR="00B661B2" w:rsidRPr="00B661B2" w:rsidRDefault="00B661B2" w:rsidP="00B661B2">
            <w:pPr>
              <w:pStyle w:val="ListParagraph"/>
              <w:jc w:val="both"/>
              <w:rPr>
                <w:rFonts w:ascii="Garamond" w:hAnsi="Garamond"/>
                <w:sz w:val="24"/>
                <w:szCs w:val="24"/>
              </w:rPr>
            </w:pPr>
            <w:r w:rsidRPr="00B661B2">
              <w:rPr>
                <w:rFonts w:ascii="Garamond" w:hAnsi="Garamond"/>
                <w:sz w:val="24"/>
                <w:szCs w:val="24"/>
              </w:rPr>
              <w:t>Overall we had very little open opposition to the work we have been doing, but there certainly were skeptics.  A couple attended the Center of Opportunity public meet</w:t>
            </w:r>
            <w:r w:rsidR="00A221A2">
              <w:rPr>
                <w:rFonts w:ascii="Garamond" w:hAnsi="Garamond"/>
                <w:sz w:val="24"/>
                <w:szCs w:val="24"/>
              </w:rPr>
              <w:t>ing in Steep Falls, Standish</w:t>
            </w:r>
            <w:r w:rsidRPr="00B661B2">
              <w:rPr>
                <w:rFonts w:ascii="Garamond" w:hAnsi="Garamond"/>
                <w:sz w:val="24"/>
                <w:szCs w:val="24"/>
              </w:rPr>
              <w:t xml:space="preserve"> arrived clearly concerned about what might be proposed.  During the portion of the meeting where the public got an upclose look at the renderings </w:t>
            </w:r>
            <w:r w:rsidR="00A221A2">
              <w:rPr>
                <w:rFonts w:ascii="Garamond" w:hAnsi="Garamond"/>
                <w:sz w:val="24"/>
                <w:szCs w:val="24"/>
              </w:rPr>
              <w:t xml:space="preserve">that had been developed </w:t>
            </w:r>
            <w:r w:rsidRPr="00B661B2">
              <w:rPr>
                <w:rFonts w:ascii="Garamond" w:hAnsi="Garamond"/>
                <w:sz w:val="24"/>
                <w:szCs w:val="24"/>
              </w:rPr>
              <w:t>based on the desires of land owners and key stakeholders in the area (a design charrette had been held w</w:t>
            </w:r>
            <w:r w:rsidR="00A221A2">
              <w:rPr>
                <w:rFonts w:ascii="Garamond" w:hAnsi="Garamond"/>
                <w:sz w:val="24"/>
                <w:szCs w:val="24"/>
              </w:rPr>
              <w:t>ith these people previously) - t</w:t>
            </w:r>
            <w:r w:rsidRPr="00B661B2">
              <w:rPr>
                <w:rFonts w:ascii="Garamond" w:hAnsi="Garamond"/>
                <w:sz w:val="24"/>
                <w:szCs w:val="24"/>
              </w:rPr>
              <w:t xml:space="preserve">he couple asked a variety of questions revealing concerns that big government might be coming in to tell them to live in apartments and ride buses.  The review of renderings was followed by a question and answer period.  During that time the couple expressed how pleased they were to see that the focus was on reviving the train station and bringing back business to the area – and that they </w:t>
            </w:r>
            <w:r w:rsidR="00A221A2">
              <w:rPr>
                <w:rFonts w:ascii="Garamond" w:hAnsi="Garamond"/>
                <w:sz w:val="24"/>
                <w:szCs w:val="24"/>
              </w:rPr>
              <w:t xml:space="preserve">felt the community had been heard and </w:t>
            </w:r>
            <w:r w:rsidRPr="00B661B2">
              <w:rPr>
                <w:rFonts w:ascii="Garamond" w:hAnsi="Garamond"/>
                <w:sz w:val="24"/>
                <w:szCs w:val="24"/>
              </w:rPr>
              <w:t>s</w:t>
            </w:r>
            <w:r w:rsidR="00A221A2">
              <w:rPr>
                <w:rFonts w:ascii="Garamond" w:hAnsi="Garamond"/>
                <w:sz w:val="24"/>
                <w:szCs w:val="24"/>
              </w:rPr>
              <w:t>upported what they were seeing and hearing</w:t>
            </w:r>
            <w:r w:rsidRPr="00B661B2">
              <w:rPr>
                <w:rFonts w:ascii="Garamond" w:hAnsi="Garamond"/>
                <w:sz w:val="24"/>
                <w:szCs w:val="24"/>
              </w:rPr>
              <w:t>.</w:t>
            </w:r>
          </w:p>
          <w:p w:rsidR="00B661B2" w:rsidRPr="00B661B2" w:rsidRDefault="00B661B2" w:rsidP="00B661B2">
            <w:pPr>
              <w:pStyle w:val="ListParagraph"/>
              <w:jc w:val="both"/>
              <w:rPr>
                <w:rFonts w:ascii="Garamond" w:hAnsi="Garamond"/>
                <w:sz w:val="24"/>
                <w:szCs w:val="24"/>
              </w:rPr>
            </w:pPr>
          </w:p>
          <w:p w:rsidR="0018089F" w:rsidRDefault="0018089F" w:rsidP="00222CCB">
            <w:pPr>
              <w:pStyle w:val="ListParagraph"/>
              <w:numPr>
                <w:ilvl w:val="0"/>
                <w:numId w:val="20"/>
              </w:numPr>
              <w:jc w:val="both"/>
              <w:rPr>
                <w:rFonts w:ascii="Garamond" w:hAnsi="Garamond"/>
                <w:sz w:val="24"/>
                <w:szCs w:val="24"/>
              </w:rPr>
            </w:pPr>
            <w:r>
              <w:rPr>
                <w:rFonts w:ascii="Garamond" w:hAnsi="Garamond"/>
                <w:sz w:val="24"/>
                <w:szCs w:val="24"/>
              </w:rPr>
              <w:t>Gordon Billington, Town Manager, Standish &amp; Executive Committee Co-Chair</w:t>
            </w:r>
          </w:p>
          <w:p w:rsidR="00B661B2" w:rsidRPr="0018089F" w:rsidRDefault="00B661B2" w:rsidP="00222CCB">
            <w:pPr>
              <w:pStyle w:val="ListParagraph"/>
              <w:jc w:val="both"/>
              <w:rPr>
                <w:rFonts w:ascii="Garamond" w:hAnsi="Garamond"/>
                <w:sz w:val="24"/>
                <w:szCs w:val="24"/>
              </w:rPr>
            </w:pPr>
            <w:r w:rsidRPr="0018089F">
              <w:rPr>
                <w:rFonts w:ascii="Garamond" w:hAnsi="Garamond"/>
                <w:sz w:val="24"/>
                <w:szCs w:val="24"/>
              </w:rPr>
              <w:t>For context, like much of our other work we have been convening a group of key stakeholders to help shape and guide our climate change work.  During one of our stakeholder meetings where we were prioritizing actions for recommendations, a discussion took place around readiness.  Specifically around the readiness of communities to address climate change and how far we could push the recommended actions.  It was decided that we would maintain a focus on sea level rise and flooding (both inland and coastal flooding) as this is where communities are at –</w:t>
            </w:r>
            <w:r w:rsidR="00222CCB">
              <w:rPr>
                <w:rFonts w:ascii="Garamond" w:hAnsi="Garamond"/>
                <w:sz w:val="24"/>
                <w:szCs w:val="24"/>
              </w:rPr>
              <w:t xml:space="preserve"> and even so it can</w:t>
            </w:r>
            <w:r w:rsidRPr="0018089F">
              <w:rPr>
                <w:rFonts w:ascii="Garamond" w:hAnsi="Garamond"/>
                <w:sz w:val="24"/>
                <w:szCs w:val="24"/>
              </w:rPr>
              <w:t xml:space="preserve"> still be quite controversial</w:t>
            </w:r>
            <w:r w:rsidR="00222CCB">
              <w:rPr>
                <w:rFonts w:ascii="Garamond" w:hAnsi="Garamond"/>
                <w:sz w:val="24"/>
                <w:szCs w:val="24"/>
              </w:rPr>
              <w:t xml:space="preserve"> at times</w:t>
            </w:r>
            <w:r w:rsidRPr="0018089F">
              <w:rPr>
                <w:rFonts w:ascii="Garamond" w:hAnsi="Garamond"/>
                <w:sz w:val="24"/>
                <w:szCs w:val="24"/>
              </w:rPr>
              <w:t>.   </w:t>
            </w:r>
          </w:p>
          <w:p w:rsidR="0018089F" w:rsidRDefault="0018089F" w:rsidP="00222CCB">
            <w:pPr>
              <w:jc w:val="both"/>
              <w:rPr>
                <w:rFonts w:ascii="Garamond" w:hAnsi="Garamond"/>
                <w:sz w:val="24"/>
                <w:szCs w:val="24"/>
              </w:rPr>
            </w:pPr>
          </w:p>
          <w:p w:rsidR="00B661B2" w:rsidRPr="00B661B2" w:rsidRDefault="00B661B2" w:rsidP="00222CCB">
            <w:pPr>
              <w:ind w:left="720"/>
              <w:jc w:val="both"/>
              <w:rPr>
                <w:rFonts w:ascii="Garamond" w:hAnsi="Garamond"/>
                <w:sz w:val="24"/>
                <w:szCs w:val="24"/>
              </w:rPr>
            </w:pPr>
            <w:r w:rsidRPr="00B661B2">
              <w:rPr>
                <w:rFonts w:ascii="Garamond" w:hAnsi="Garamond"/>
                <w:sz w:val="24"/>
                <w:szCs w:val="24"/>
              </w:rPr>
              <w:t>At the beginning of December</w:t>
            </w:r>
            <w:r w:rsidR="00222CCB">
              <w:rPr>
                <w:rFonts w:ascii="Garamond" w:hAnsi="Garamond"/>
                <w:sz w:val="24"/>
                <w:szCs w:val="24"/>
              </w:rPr>
              <w:t xml:space="preserve"> 2013</w:t>
            </w:r>
            <w:r w:rsidRPr="00B661B2">
              <w:rPr>
                <w:rFonts w:ascii="Garamond" w:hAnsi="Garamond"/>
                <w:sz w:val="24"/>
                <w:szCs w:val="24"/>
              </w:rPr>
              <w:t xml:space="preserve"> we shared our climate change work with the Sustain Southern Maine Executive Committee.  The discussion focused primarily around the recommended actions and those that had bee</w:t>
            </w:r>
            <w:r w:rsidR="00222CCB">
              <w:rPr>
                <w:rFonts w:ascii="Garamond" w:hAnsi="Garamond"/>
                <w:sz w:val="24"/>
                <w:szCs w:val="24"/>
              </w:rPr>
              <w:t>n identified as high priorities.  Staff was</w:t>
            </w:r>
            <w:r w:rsidRPr="00B661B2">
              <w:rPr>
                <w:rFonts w:ascii="Garamond" w:hAnsi="Garamond"/>
                <w:sz w:val="24"/>
                <w:szCs w:val="24"/>
              </w:rPr>
              <w:t xml:space="preserve"> ready for some controversy, but fairly confident that the majority of the committee would support t</w:t>
            </w:r>
            <w:r w:rsidR="00222CCB">
              <w:rPr>
                <w:rFonts w:ascii="Garamond" w:hAnsi="Garamond"/>
                <w:sz w:val="24"/>
                <w:szCs w:val="24"/>
              </w:rPr>
              <w:t>he recommendations.  To our</w:t>
            </w:r>
            <w:r w:rsidRPr="00B661B2">
              <w:rPr>
                <w:rFonts w:ascii="Garamond" w:hAnsi="Garamond"/>
                <w:sz w:val="24"/>
                <w:szCs w:val="24"/>
              </w:rPr>
              <w:t xml:space="preserve"> surprise, no one balked, not at a single recommendation.  Instead they insisted that a few more of the recommendations be added to </w:t>
            </w:r>
            <w:r w:rsidR="00222CCB">
              <w:rPr>
                <w:rFonts w:ascii="Garamond" w:hAnsi="Garamond"/>
                <w:sz w:val="24"/>
                <w:szCs w:val="24"/>
              </w:rPr>
              <w:t>the high priority list.  Gordon Billington, a more conservative committee member</w:t>
            </w:r>
            <w:r w:rsidRPr="00B661B2">
              <w:rPr>
                <w:rFonts w:ascii="Garamond" w:hAnsi="Garamond"/>
                <w:sz w:val="24"/>
                <w:szCs w:val="24"/>
              </w:rPr>
              <w:t xml:space="preserve"> (</w:t>
            </w:r>
            <w:r w:rsidR="00222CCB">
              <w:rPr>
                <w:rFonts w:ascii="Garamond" w:hAnsi="Garamond"/>
                <w:sz w:val="24"/>
                <w:szCs w:val="24"/>
              </w:rPr>
              <w:t>and strategically selected to be co-chair for this reason) supported</w:t>
            </w:r>
            <w:r w:rsidRPr="00B661B2">
              <w:rPr>
                <w:rFonts w:ascii="Garamond" w:hAnsi="Garamond"/>
                <w:sz w:val="24"/>
                <w:szCs w:val="24"/>
              </w:rPr>
              <w:t xml:space="preserve"> every prio</w:t>
            </w:r>
            <w:r w:rsidR="00222CCB">
              <w:rPr>
                <w:rFonts w:ascii="Garamond" w:hAnsi="Garamond"/>
                <w:sz w:val="24"/>
                <w:szCs w:val="24"/>
              </w:rPr>
              <w:t>rity recommendation and lobbied</w:t>
            </w:r>
            <w:r w:rsidRPr="00B661B2">
              <w:rPr>
                <w:rFonts w:ascii="Garamond" w:hAnsi="Garamond"/>
                <w:sz w:val="24"/>
                <w:szCs w:val="24"/>
              </w:rPr>
              <w:t xml:space="preserve"> for other</w:t>
            </w:r>
            <w:r w:rsidR="00222CCB">
              <w:rPr>
                <w:rFonts w:ascii="Garamond" w:hAnsi="Garamond"/>
                <w:sz w:val="24"/>
                <w:szCs w:val="24"/>
              </w:rPr>
              <w:t>s to be added.  At that moment we</w:t>
            </w:r>
            <w:r w:rsidRPr="00B661B2">
              <w:rPr>
                <w:rFonts w:ascii="Garamond" w:hAnsi="Garamond"/>
                <w:sz w:val="24"/>
                <w:szCs w:val="24"/>
              </w:rPr>
              <w:t xml:space="preserve"> realized just how far the region had come in terms of our thinking on climate change.  </w:t>
            </w:r>
          </w:p>
          <w:p w:rsidR="0018089F" w:rsidRDefault="0018089F" w:rsidP="00222CCB">
            <w:pPr>
              <w:jc w:val="both"/>
              <w:rPr>
                <w:rFonts w:ascii="Garamond" w:hAnsi="Garamond"/>
                <w:sz w:val="24"/>
                <w:szCs w:val="24"/>
              </w:rPr>
            </w:pPr>
          </w:p>
          <w:p w:rsidR="00B661B2" w:rsidRPr="00B661B2" w:rsidRDefault="00B661B2" w:rsidP="00222CCB">
            <w:pPr>
              <w:ind w:left="720"/>
              <w:jc w:val="both"/>
              <w:rPr>
                <w:rFonts w:ascii="Garamond" w:hAnsi="Garamond"/>
                <w:sz w:val="24"/>
                <w:szCs w:val="24"/>
              </w:rPr>
            </w:pPr>
          </w:p>
        </w:tc>
      </w:tr>
    </w:tbl>
    <w:p w:rsidR="00701332" w:rsidRDefault="00701332" w:rsidP="004D0FC9">
      <w:pPr>
        <w:keepLines/>
        <w:tabs>
          <w:tab w:val="left" w:pos="360"/>
          <w:tab w:val="left" w:pos="720"/>
        </w:tabs>
        <w:rPr>
          <w:rFonts w:ascii="Garamond" w:hAnsi="Garamond"/>
          <w:color w:val="000000" w:themeColor="text1"/>
        </w:rPr>
      </w:pPr>
    </w:p>
    <w:p w:rsidR="00DB03D5" w:rsidRPr="00C1758B" w:rsidRDefault="004D0FC9" w:rsidP="004D0FC9">
      <w:pPr>
        <w:keepLines/>
        <w:tabs>
          <w:tab w:val="left" w:pos="360"/>
          <w:tab w:val="left" w:pos="720"/>
        </w:tabs>
        <w:rPr>
          <w:rFonts w:ascii="Garamond" w:hAnsi="Garamond"/>
          <w:color w:val="000000" w:themeColor="text1"/>
        </w:rPr>
      </w:pPr>
      <w:bookmarkStart w:id="35" w:name="_GoBack"/>
      <w:bookmarkEnd w:id="35"/>
      <w:r w:rsidRPr="00C1758B">
        <w:rPr>
          <w:rFonts w:ascii="Garamond" w:hAnsi="Garamond"/>
          <w:color w:val="000000" w:themeColor="text1"/>
        </w:rPr>
        <w:lastRenderedPageBreak/>
        <w:t xml:space="preserve">Public reporting burden for this collection of information is estimated to average </w:t>
      </w:r>
      <w:r w:rsidR="00657944">
        <w:rPr>
          <w:rFonts w:ascii="Garamond" w:hAnsi="Garamond"/>
          <w:color w:val="000000" w:themeColor="text1"/>
        </w:rPr>
        <w:t>1.5</w:t>
      </w:r>
      <w:r w:rsidRPr="00C1758B">
        <w:rPr>
          <w:rFonts w:ascii="Garamond" w:hAnsi="Garamond"/>
          <w:color w:val="000000" w:themeColor="text1"/>
        </w:rPr>
        <w:t xml:space="preserve"> hours. This includes the time for collecti</w:t>
      </w:r>
      <w:r w:rsidR="00C1758B">
        <w:rPr>
          <w:rFonts w:ascii="Garamond" w:hAnsi="Garamond"/>
          <w:color w:val="000000" w:themeColor="text1"/>
        </w:rPr>
        <w:t>ng, reviewing, and responding to questions</w:t>
      </w:r>
      <w:r w:rsidRPr="00C1758B">
        <w:rPr>
          <w:rFonts w:ascii="Garamond" w:hAnsi="Garamond"/>
          <w:color w:val="000000" w:themeColor="text1"/>
        </w:rPr>
        <w:t>. The information is being collected for mandatory semi-annual reporting and will be used for tracking implementation of HUD-approved work plans. Response to this request for information is required in order to receive the benefits to be derived. This agency may not collect this information, and you are not required to complete this form unless it displays a currently valid OMB control number. No confidentiality is assured.</w:t>
      </w:r>
    </w:p>
    <w:sectPr w:rsidR="00DB03D5" w:rsidRPr="00C1758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171" w:rsidRDefault="00254171" w:rsidP="004154AF">
      <w:pPr>
        <w:spacing w:after="0" w:line="240" w:lineRule="auto"/>
      </w:pPr>
      <w:r>
        <w:separator/>
      </w:r>
    </w:p>
  </w:endnote>
  <w:endnote w:type="continuationSeparator" w:id="0">
    <w:p w:rsidR="00254171" w:rsidRDefault="00254171" w:rsidP="0041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71" w:rsidRDefault="00254171">
    <w:pPr>
      <w:pStyle w:val="Footer"/>
      <w:jc w:val="center"/>
    </w:pPr>
    <w:r>
      <w:t xml:space="preserve">                                                                                                </w:t>
    </w:r>
    <w:sdt>
      <w:sdtPr>
        <w:id w:val="159775246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22CCB">
          <w:rPr>
            <w:noProof/>
          </w:rPr>
          <w:t>13</w:t>
        </w:r>
        <w:r>
          <w:rPr>
            <w:noProof/>
          </w:rPr>
          <w:fldChar w:fldCharType="end"/>
        </w:r>
        <w:r>
          <w:rPr>
            <w:noProof/>
          </w:rPr>
          <w:t xml:space="preserve">                                       HUD Form 40105 (08/2013)</w:t>
        </w:r>
      </w:sdtContent>
    </w:sdt>
  </w:p>
  <w:p w:rsidR="00254171" w:rsidRDefault="00254171" w:rsidP="00F0300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171" w:rsidRDefault="00254171" w:rsidP="004154AF">
      <w:pPr>
        <w:spacing w:after="0" w:line="240" w:lineRule="auto"/>
      </w:pPr>
      <w:r>
        <w:separator/>
      </w:r>
    </w:p>
  </w:footnote>
  <w:footnote w:type="continuationSeparator" w:id="0">
    <w:p w:rsidR="00254171" w:rsidRDefault="00254171" w:rsidP="00415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71" w:rsidRPr="00604113" w:rsidRDefault="00254171" w:rsidP="00F908A3">
    <w:pPr>
      <w:pStyle w:val="Header"/>
      <w:jc w:val="right"/>
      <w:rPr>
        <w:rFonts w:ascii="Times New Roman" w:hAnsi="Times New Roman" w:cs="Times New Roman"/>
        <w:b/>
        <w:sz w:val="18"/>
        <w:szCs w:val="18"/>
      </w:rPr>
    </w:pPr>
    <w:r w:rsidRPr="00604113">
      <w:rPr>
        <w:rFonts w:ascii="Times New Roman" w:hAnsi="Times New Roman" w:cs="Times New Roman"/>
        <w:b/>
        <w:sz w:val="18"/>
        <w:szCs w:val="18"/>
      </w:rPr>
      <w:t>OMB Control No. 2501-0030</w:t>
    </w:r>
  </w:p>
  <w:p w:rsidR="00254171" w:rsidRPr="00604113" w:rsidRDefault="00254171" w:rsidP="00604113">
    <w:pPr>
      <w:pStyle w:val="Header"/>
      <w:spacing w:after="120"/>
      <w:jc w:val="right"/>
      <w:rPr>
        <w:rFonts w:ascii="Times New Roman" w:hAnsi="Times New Roman" w:cs="Times New Roman"/>
        <w:b/>
        <w:sz w:val="18"/>
        <w:szCs w:val="18"/>
      </w:rPr>
    </w:pPr>
    <w:r w:rsidRPr="00604113">
      <w:rPr>
        <w:rFonts w:ascii="Times New Roman" w:hAnsi="Times New Roman" w:cs="Times New Roman"/>
        <w:b/>
        <w:sz w:val="18"/>
        <w:szCs w:val="18"/>
      </w:rPr>
      <w:t>Expires 12/31/2014</w:t>
    </w:r>
  </w:p>
  <w:p w:rsidR="00254171" w:rsidRPr="00604113" w:rsidRDefault="00254171" w:rsidP="00F908A3">
    <w:pPr>
      <w:pStyle w:val="Header"/>
      <w:jc w:val="center"/>
      <w:rPr>
        <w:rFonts w:ascii="Times New Roman" w:hAnsi="Times New Roman" w:cs="Times New Roman"/>
        <w:b/>
      </w:rPr>
    </w:pPr>
    <w:r w:rsidRPr="00604113">
      <w:rPr>
        <w:rFonts w:ascii="Times New Roman" w:hAnsi="Times New Roman" w:cs="Times New Roman"/>
        <w:b/>
      </w:rPr>
      <w:t>U.S. Department of Housing and Urban Development</w:t>
    </w:r>
  </w:p>
  <w:p w:rsidR="00254171" w:rsidRPr="00F908A3" w:rsidRDefault="00254171" w:rsidP="00F908A3">
    <w:pPr>
      <w:pStyle w:val="Header"/>
      <w:jc w:val="center"/>
      <w:rPr>
        <w:rFonts w:ascii="Times New Roman" w:hAnsi="Times New Roman" w:cs="Times New Roman"/>
        <w:b/>
        <w:smallCaps/>
        <w:sz w:val="28"/>
        <w:szCs w:val="28"/>
      </w:rPr>
    </w:pPr>
    <w:r w:rsidRPr="00F908A3">
      <w:rPr>
        <w:rFonts w:ascii="Times New Roman" w:hAnsi="Times New Roman" w:cs="Times New Roman"/>
        <w:b/>
        <w:smallCaps/>
        <w:sz w:val="28"/>
        <w:szCs w:val="28"/>
      </w:rPr>
      <w:t>Sustainable Communities Initiative Progress Report Template</w:t>
    </w:r>
  </w:p>
  <w:p w:rsidR="00254171" w:rsidRPr="00F908A3" w:rsidRDefault="00254171" w:rsidP="00F908A3">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709B"/>
    <w:multiLevelType w:val="hybridMultilevel"/>
    <w:tmpl w:val="7396A5A6"/>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DB1841"/>
    <w:multiLevelType w:val="hybridMultilevel"/>
    <w:tmpl w:val="B250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1B408C"/>
    <w:multiLevelType w:val="hybridMultilevel"/>
    <w:tmpl w:val="14F692B8"/>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D0869F1"/>
    <w:multiLevelType w:val="hybridMultilevel"/>
    <w:tmpl w:val="6D328524"/>
    <w:lvl w:ilvl="0" w:tplc="AFCA6CDA">
      <w:start w:val="1"/>
      <w:numFmt w:val="upperRoman"/>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107BB2"/>
    <w:multiLevelType w:val="hybridMultilevel"/>
    <w:tmpl w:val="C50AB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056D06"/>
    <w:multiLevelType w:val="hybridMultilevel"/>
    <w:tmpl w:val="9962E3F4"/>
    <w:lvl w:ilvl="0" w:tplc="0C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nsid w:val="2D787E97"/>
    <w:multiLevelType w:val="hybridMultilevel"/>
    <w:tmpl w:val="1B587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6D139C"/>
    <w:multiLevelType w:val="hybridMultilevel"/>
    <w:tmpl w:val="E842AE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433F4B"/>
    <w:multiLevelType w:val="hybridMultilevel"/>
    <w:tmpl w:val="E870AE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07A39BF"/>
    <w:multiLevelType w:val="hybridMultilevel"/>
    <w:tmpl w:val="7E12F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B0EB0"/>
    <w:multiLevelType w:val="hybridMultilevel"/>
    <w:tmpl w:val="C26AE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8F5EAF"/>
    <w:multiLevelType w:val="hybridMultilevel"/>
    <w:tmpl w:val="63BEE160"/>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050C10"/>
    <w:multiLevelType w:val="hybridMultilevel"/>
    <w:tmpl w:val="0F2680D6"/>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B0B77E5"/>
    <w:multiLevelType w:val="hybridMultilevel"/>
    <w:tmpl w:val="A7A4D2F4"/>
    <w:lvl w:ilvl="0" w:tplc="0C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BFC2577"/>
    <w:multiLevelType w:val="hybridMultilevel"/>
    <w:tmpl w:val="A0E043F6"/>
    <w:lvl w:ilvl="0" w:tplc="2BA23586">
      <w:start w:val="1"/>
      <w:numFmt w:val="lowerLetter"/>
      <w:lvlText w:val="%1."/>
      <w:lvlJc w:val="left"/>
      <w:pPr>
        <w:ind w:left="1080" w:hanging="360"/>
      </w:pPr>
      <w:rPr>
        <w:rFonts w:hint="default"/>
        <w:b/>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F020D56"/>
    <w:multiLevelType w:val="hybridMultilevel"/>
    <w:tmpl w:val="A97209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64E06C8"/>
    <w:multiLevelType w:val="hybridMultilevel"/>
    <w:tmpl w:val="2C144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F626E"/>
    <w:multiLevelType w:val="hybridMultilevel"/>
    <w:tmpl w:val="77264950"/>
    <w:lvl w:ilvl="0" w:tplc="F03CDF4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5F5942"/>
    <w:multiLevelType w:val="hybridMultilevel"/>
    <w:tmpl w:val="AD0E92F8"/>
    <w:lvl w:ilvl="0" w:tplc="8C8EC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BAD732E"/>
    <w:multiLevelType w:val="hybridMultilevel"/>
    <w:tmpl w:val="122CA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
  </w:num>
  <w:num w:numId="4">
    <w:abstractNumId w:val="10"/>
  </w:num>
  <w:num w:numId="5">
    <w:abstractNumId w:val="14"/>
  </w:num>
  <w:num w:numId="6">
    <w:abstractNumId w:val="12"/>
  </w:num>
  <w:num w:numId="7">
    <w:abstractNumId w:val="13"/>
  </w:num>
  <w:num w:numId="8">
    <w:abstractNumId w:val="5"/>
  </w:num>
  <w:num w:numId="9">
    <w:abstractNumId w:val="17"/>
  </w:num>
  <w:num w:numId="10">
    <w:abstractNumId w:val="18"/>
  </w:num>
  <w:num w:numId="11">
    <w:abstractNumId w:val="2"/>
  </w:num>
  <w:num w:numId="12">
    <w:abstractNumId w:val="3"/>
  </w:num>
  <w:num w:numId="13">
    <w:abstractNumId w:val="11"/>
  </w:num>
  <w:num w:numId="14">
    <w:abstractNumId w:val="0"/>
  </w:num>
  <w:num w:numId="15">
    <w:abstractNumId w:val="7"/>
  </w:num>
  <w:num w:numId="16">
    <w:abstractNumId w:val="19"/>
  </w:num>
  <w:num w:numId="17">
    <w:abstractNumId w:val="9"/>
  </w:num>
  <w:num w:numId="18">
    <w:abstractNumId w:val="4"/>
  </w:num>
  <w:num w:numId="19">
    <w:abstractNumId w:val="6"/>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B9"/>
    <w:rsid w:val="0000575E"/>
    <w:rsid w:val="000650FF"/>
    <w:rsid w:val="000B48E9"/>
    <w:rsid w:val="00102B5C"/>
    <w:rsid w:val="00153B0C"/>
    <w:rsid w:val="0018089F"/>
    <w:rsid w:val="001A7394"/>
    <w:rsid w:val="001B1B7B"/>
    <w:rsid w:val="00222CCB"/>
    <w:rsid w:val="00235209"/>
    <w:rsid w:val="00254171"/>
    <w:rsid w:val="002B224D"/>
    <w:rsid w:val="002C1E45"/>
    <w:rsid w:val="002D3313"/>
    <w:rsid w:val="002D6D05"/>
    <w:rsid w:val="00321675"/>
    <w:rsid w:val="003244FC"/>
    <w:rsid w:val="00335E1C"/>
    <w:rsid w:val="00387BC5"/>
    <w:rsid w:val="003A3CFA"/>
    <w:rsid w:val="003D0C20"/>
    <w:rsid w:val="003D3FAC"/>
    <w:rsid w:val="0040786C"/>
    <w:rsid w:val="004154AF"/>
    <w:rsid w:val="004518C8"/>
    <w:rsid w:val="00454774"/>
    <w:rsid w:val="00461B50"/>
    <w:rsid w:val="00470345"/>
    <w:rsid w:val="004D0FC9"/>
    <w:rsid w:val="00506B9A"/>
    <w:rsid w:val="00516451"/>
    <w:rsid w:val="00520BDF"/>
    <w:rsid w:val="00596BDB"/>
    <w:rsid w:val="006030B9"/>
    <w:rsid w:val="006037F9"/>
    <w:rsid w:val="00604113"/>
    <w:rsid w:val="0064242F"/>
    <w:rsid w:val="00657944"/>
    <w:rsid w:val="006D58E1"/>
    <w:rsid w:val="006F43F7"/>
    <w:rsid w:val="00701332"/>
    <w:rsid w:val="00731D69"/>
    <w:rsid w:val="00743502"/>
    <w:rsid w:val="007557EB"/>
    <w:rsid w:val="007B300C"/>
    <w:rsid w:val="007E0D2F"/>
    <w:rsid w:val="008C5031"/>
    <w:rsid w:val="0091303F"/>
    <w:rsid w:val="009245AE"/>
    <w:rsid w:val="00942B53"/>
    <w:rsid w:val="009500ED"/>
    <w:rsid w:val="00964A4A"/>
    <w:rsid w:val="00983B2E"/>
    <w:rsid w:val="0099416C"/>
    <w:rsid w:val="009C216A"/>
    <w:rsid w:val="00A15DDC"/>
    <w:rsid w:val="00A221A2"/>
    <w:rsid w:val="00A551E2"/>
    <w:rsid w:val="00A729F6"/>
    <w:rsid w:val="00A9486A"/>
    <w:rsid w:val="00AC6328"/>
    <w:rsid w:val="00AC7520"/>
    <w:rsid w:val="00AE407C"/>
    <w:rsid w:val="00B554F1"/>
    <w:rsid w:val="00B55BD5"/>
    <w:rsid w:val="00B661B2"/>
    <w:rsid w:val="00BB303D"/>
    <w:rsid w:val="00C1758B"/>
    <w:rsid w:val="00C56EA0"/>
    <w:rsid w:val="00C66B52"/>
    <w:rsid w:val="00CE58AE"/>
    <w:rsid w:val="00CE653A"/>
    <w:rsid w:val="00D25DA5"/>
    <w:rsid w:val="00D30CF0"/>
    <w:rsid w:val="00D41E3F"/>
    <w:rsid w:val="00DB03D5"/>
    <w:rsid w:val="00DB2559"/>
    <w:rsid w:val="00DF3B27"/>
    <w:rsid w:val="00E50B85"/>
    <w:rsid w:val="00E56D46"/>
    <w:rsid w:val="00E66E8B"/>
    <w:rsid w:val="00E81785"/>
    <w:rsid w:val="00E84533"/>
    <w:rsid w:val="00E84735"/>
    <w:rsid w:val="00E91709"/>
    <w:rsid w:val="00EB6C3B"/>
    <w:rsid w:val="00EE3EF5"/>
    <w:rsid w:val="00F03004"/>
    <w:rsid w:val="00F34988"/>
    <w:rsid w:val="00F5040C"/>
    <w:rsid w:val="00F5755E"/>
    <w:rsid w:val="00F908A3"/>
    <w:rsid w:val="00FD57AB"/>
    <w:rsid w:val="00FF1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0215">
      <w:bodyDiv w:val="1"/>
      <w:marLeft w:val="0"/>
      <w:marRight w:val="0"/>
      <w:marTop w:val="0"/>
      <w:marBottom w:val="0"/>
      <w:divBdr>
        <w:top w:val="none" w:sz="0" w:space="0" w:color="auto"/>
        <w:left w:val="none" w:sz="0" w:space="0" w:color="auto"/>
        <w:bottom w:val="none" w:sz="0" w:space="0" w:color="auto"/>
        <w:right w:val="none" w:sz="0" w:space="0" w:color="auto"/>
      </w:divBdr>
      <w:divsChild>
        <w:div w:id="324432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OMB Control Number: 2501-xxxx</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4879</Words>
  <Characters>27814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SUSTAINABLE COMMUNITIES INITIATIVE PROGRESS REPORT TEMPLATE</vt:lpstr>
    </vt:vector>
  </TitlesOfParts>
  <Company>Housing and Urban Development</Company>
  <LinksUpToDate>false</LinksUpToDate>
  <CharactersWithSpaces>32628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SUSTAINABLE COMMUNITIES INITIATIVE PROGRESS REPORT TEMPLATE</dc:title>
  <dc:creator>h22489</dc:creator>
  <cp:lastModifiedBy>rschaffner</cp:lastModifiedBy>
  <cp:revision>19</cp:revision>
  <cp:lastPrinted>2013-03-05T15:02:00Z</cp:lastPrinted>
  <dcterms:created xsi:type="dcterms:W3CDTF">2014-09-26T17:56:00Z</dcterms:created>
  <dcterms:modified xsi:type="dcterms:W3CDTF">2014-09-26T19:11:00Z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-840207347</vt:i4>
  </property>
  <property fmtid="{D5CDD505-2E9C-101B-9397-08002B2CF9AE}" pid="3" name="_NewReviewCycle">
    <vt:lpwstr/>
  </property>
  <property fmtid="{D5CDD505-2E9C-101B-9397-08002B2CF9AE}" pid="4" name="_EmailSubject">
    <vt:lpwstr>Semi-Annual Report Package</vt:lpwstr>
  </property>
  <property fmtid="{D5CDD505-2E9C-101B-9397-08002B2CF9AE}" pid="5" name="_AuthorEmail">
    <vt:lpwstr>Thaddeus.D.Wincek@hud.gov</vt:lpwstr>
  </property>
  <property fmtid="{D5CDD505-2E9C-101B-9397-08002B2CF9AE}" pid="6" name="_AuthorEmailDisplayName">
    <vt:lpwstr>Wincek, Thaddeus D</vt:lpwstr>
  </property>
  <property fmtid="{D5CDD505-2E9C-101B-9397-08002B2CF9AE}" pid="7" name="_PreviousAdHocReviewCycleID">
    <vt:i4>750304734</vt:i4>
  </property>
  <property fmtid="{D5CDD505-2E9C-101B-9397-08002B2CF9AE}" pid="8" name="_ReviewingToolsShownOnce">
    <vt:lpwstr/>
  </property>
</Properties>
</file>